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40" w:after="120"/>
        <w:jc w:val="left"/>
        <w:outlineLvl w:val="1"/>
        <w:rPr>
          <w:rFonts w:cs="Times New Roman" w:asciiTheme="minorEastAsia" w:hAnsiTheme="minorEastAsia"/>
          <w:b/>
          <w:bCs/>
          <w:color w:val="000000"/>
          <w:kern w:val="0"/>
          <w:sz w:val="44"/>
          <w:szCs w:val="44"/>
        </w:rPr>
      </w:pPr>
      <w:bookmarkStart w:id="0" w:name="_Toc478821318"/>
      <w:r>
        <w:drawing>
          <wp:inline distT="0" distB="0" distL="0" distR="0">
            <wp:extent cx="2543175" cy="6667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2543175" cy="666750"/>
                    </a:xfrm>
                    <a:prstGeom prst="rect">
                      <a:avLst/>
                    </a:prstGeom>
                  </pic:spPr>
                </pic:pic>
              </a:graphicData>
            </a:graphic>
          </wp:inline>
        </w:drawing>
      </w:r>
    </w:p>
    <w:p>
      <w:pPr>
        <w:widowControl/>
        <w:jc w:val="center"/>
        <w:outlineLvl w:val="1"/>
        <w:rPr>
          <w:rFonts w:ascii="方正小标宋简体" w:hAnsi="宋体" w:eastAsia="方正小标宋简体" w:cs="Times New Roman"/>
          <w:b/>
          <w:bCs/>
          <w:color w:val="FF0000"/>
          <w:kern w:val="0"/>
          <w:sz w:val="44"/>
          <w:szCs w:val="44"/>
        </w:rPr>
      </w:pPr>
      <w:r>
        <w:rPr>
          <w:rFonts w:hint="eastAsia" w:ascii="方正小标宋简体" w:hAnsi="宋体" w:eastAsia="方正小标宋简体" w:cs="Times New Roman"/>
          <w:b/>
          <w:bCs/>
          <w:color w:val="FF0000"/>
          <w:kern w:val="0"/>
          <w:sz w:val="44"/>
          <w:szCs w:val="44"/>
        </w:rPr>
        <w:t>沈阳工学院本科教学工作合格评估</w:t>
      </w:r>
    </w:p>
    <w:p>
      <w:pPr>
        <w:widowControl/>
        <w:jc w:val="center"/>
        <w:outlineLvl w:val="1"/>
        <w:rPr>
          <w:rFonts w:ascii="方正小标宋简体" w:hAnsi="宋体" w:eastAsia="方正小标宋简体" w:cs="Times New Roman"/>
          <w:b/>
          <w:bCs/>
          <w:color w:val="FF0000"/>
          <w:kern w:val="0"/>
          <w:sz w:val="44"/>
          <w:szCs w:val="44"/>
        </w:rPr>
      </w:pPr>
      <w:r>
        <w:rPr>
          <w:rFonts w:hint="eastAsia" w:ascii="方正小标宋简体" w:hAnsi="宋体" w:eastAsia="方正小标宋简体" w:cs="Times New Roman"/>
          <w:b/>
          <w:bCs/>
          <w:color w:val="FF0000"/>
          <w:kern w:val="0"/>
          <w:sz w:val="44"/>
          <w:szCs w:val="44"/>
        </w:rPr>
        <w:t>工作简报</w:t>
      </w:r>
      <w:bookmarkEnd w:id="0"/>
    </w:p>
    <w:p>
      <w:pPr>
        <w:spacing w:line="360" w:lineRule="auto"/>
        <w:rPr>
          <w:rFonts w:ascii="宋体" w:hAnsi="宋体"/>
          <w:b/>
          <w:bCs/>
          <w:color w:val="000000"/>
          <w:sz w:val="24"/>
        </w:rPr>
      </w:pPr>
    </w:p>
    <w:p>
      <w:pPr>
        <w:spacing w:line="360" w:lineRule="auto"/>
        <w:rPr>
          <w:rFonts w:ascii="宋体" w:hAnsi="宋体"/>
          <w:b/>
          <w:bCs/>
          <w:color w:val="000000"/>
          <w:sz w:val="24"/>
        </w:rPr>
      </w:pPr>
      <w:r>
        <w:rPr>
          <w:rFonts w:hint="eastAsia" w:ascii="宋体" w:hAnsi="宋体"/>
          <w:b/>
          <w:bCs/>
          <w:color w:val="000000"/>
          <w:sz w:val="24"/>
        </w:rPr>
        <w:t xml:space="preserve">主办：合格评估工作办公室 </w:t>
      </w:r>
      <w:r>
        <w:rPr>
          <w:rFonts w:hint="eastAsia" w:ascii="宋体" w:hAnsi="宋体"/>
          <w:b/>
          <w:bCs/>
          <w:color w:val="000000"/>
          <w:sz w:val="24"/>
          <w:lang w:val="en-US" w:eastAsia="zh-CN"/>
        </w:rPr>
        <w:t xml:space="preserve"> </w:t>
      </w:r>
      <w:r>
        <w:rPr>
          <w:rFonts w:hint="eastAsia" w:ascii="宋体" w:hAnsi="宋体"/>
          <w:b/>
          <w:bCs/>
          <w:color w:val="000000"/>
          <w:sz w:val="24"/>
        </w:rPr>
        <w:t>2018年第1期（总第1期）</w:t>
      </w:r>
      <w:r>
        <w:rPr>
          <w:rFonts w:hint="eastAsia" w:ascii="宋体" w:hAnsi="宋体"/>
          <w:b/>
          <w:bCs/>
          <w:color w:val="000000"/>
          <w:sz w:val="24"/>
          <w:lang w:val="en-US" w:eastAsia="zh-CN"/>
        </w:rPr>
        <w:t xml:space="preserve"> </w:t>
      </w:r>
      <w:r>
        <w:rPr>
          <w:rFonts w:hint="eastAsia" w:ascii="宋体" w:hAnsi="宋体"/>
          <w:b/>
          <w:bCs/>
          <w:color w:val="000000"/>
          <w:sz w:val="24"/>
        </w:rPr>
        <w:t xml:space="preserve"> 2018年4月</w:t>
      </w:r>
      <w:r>
        <w:rPr>
          <w:rFonts w:hint="eastAsia" w:ascii="宋体" w:hAnsi="宋体"/>
          <w:b/>
          <w:bCs/>
          <w:color w:val="000000"/>
          <w:sz w:val="24"/>
          <w:lang w:val="en-US" w:eastAsia="zh-CN"/>
        </w:rPr>
        <w:t>24</w:t>
      </w:r>
      <w:r>
        <w:rPr>
          <w:rFonts w:hint="eastAsia" w:ascii="宋体" w:hAnsi="宋体"/>
          <w:b/>
          <w:bCs/>
          <w:color w:val="000000"/>
          <w:sz w:val="24"/>
        </w:rPr>
        <w:t>日</w:t>
      </w:r>
    </w:p>
    <w:p>
      <w:pPr>
        <w:spacing w:line="360" w:lineRule="auto"/>
        <w:rPr>
          <w:rFonts w:ascii="华文中宋" w:hAnsi="华文中宋" w:eastAsia="华文中宋"/>
          <w:b/>
          <w:bCs/>
          <w:sz w:val="28"/>
        </w:rPr>
      </w:pPr>
      <w:r>
        <w:rPr>
          <w:rFonts w:ascii="华文中宋" w:hAnsi="华文中宋" w:eastAsia="华文中宋"/>
          <w:b/>
          <w:bCs/>
          <w:sz w:val="28"/>
        </w:rPr>
        <w:pict>
          <v:line id="直线 3" o:spid="_x0000_s1026" o:spt="20" style="position:absolute;left:0pt;margin-left:-9pt;margin-top:15.6pt;height:0pt;width:432pt;z-index:251666432;mso-width-relative:page;mso-height-relative:page;" stroked="t" coordsize="21600,21600" o:gfxdata="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ymXpaNoAAAAJAQAADwAAAAAAAAABACAAAAAi&#10;AAAAZHJzL2Rvd25yZXYueG1sUEsBAhQAFAAAAAgAh07iQKAlwgfPAQAAjgMAAA4AAAAAAAAAAQAg&#10;AAAAKQEAAGRycy9lMm9Eb2MueG1sUEsFBgAAAAAGAAYAWQEAAGoFAAAAAA==&#10;">
            <v:path arrowok="t"/>
            <v:fill focussize="0,0"/>
            <v:stroke weight="3pt" color="#FF0000"/>
            <v:imagedata o:title=""/>
            <o:lock v:ext="edit"/>
          </v:line>
        </w:pict>
      </w:r>
    </w:p>
    <w:p>
      <w:pPr>
        <w:ind w:right="-420" w:rightChars="-200"/>
        <w:rPr>
          <w:rFonts w:ascii="黑体" w:hAnsi="黑体" w:eastAsia="黑体" w:cs="黑体"/>
          <w:bCs/>
          <w:sz w:val="32"/>
          <w:szCs w:val="32"/>
        </w:rPr>
      </w:pPr>
      <w:r>
        <w:rPr>
          <w:rFonts w:hint="eastAsia" w:ascii="黑体" w:hAnsi="黑体" w:eastAsia="黑体" w:cs="黑体"/>
          <w:bCs/>
          <w:sz w:val="32"/>
          <w:szCs w:val="32"/>
        </w:rPr>
        <w:t>一、召开合格评估专题会议</w:t>
      </w:r>
    </w:p>
    <w:p>
      <w:pPr>
        <w:widowControl/>
        <w:spacing w:line="500" w:lineRule="exact"/>
        <w:ind w:firstLine="554" w:firstLineChars="198"/>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合格评估专题会议根据《关于印发&lt;对普通高等学校本科教学合格评估部分评估指标的调整说明&gt;的通知（教督函[2018]1号）》的要求，对评估指标基本要求中提及的11个观测点的22处变化进行了说明，通过将新旧指标进行对比，在结合实际工作的基础上对新变化的内容及指标背后的内涵进行了解读。</w:t>
      </w:r>
    </w:p>
    <w:p>
      <w:pPr>
        <w:widowControl/>
        <w:spacing w:line="500" w:lineRule="exact"/>
        <w:ind w:firstLine="554" w:firstLineChars="198"/>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会议讨论了《本科教学合格评估评建任务及材料目录指南》和《关于开展专项自评工作的通知》的主要内容，经过</w:t>
      </w:r>
      <w:r>
        <w:rPr>
          <w:rFonts w:ascii="仿宋" w:hAnsi="仿宋" w:eastAsia="仿宋" w:cs="仿宋"/>
          <w:color w:val="000000"/>
          <w:kern w:val="0"/>
          <w:sz w:val="28"/>
          <w:szCs w:val="28"/>
        </w:rPr>
        <w:t>评建工作领导小组</w:t>
      </w:r>
      <w:r>
        <w:rPr>
          <w:rFonts w:hint="eastAsia" w:ascii="仿宋" w:hAnsi="仿宋" w:eastAsia="仿宋" w:cs="仿宋"/>
          <w:color w:val="000000"/>
          <w:kern w:val="0"/>
          <w:sz w:val="28"/>
          <w:szCs w:val="28"/>
        </w:rPr>
        <w:t>全体成员审议，原则通过了上述文件。</w:t>
      </w:r>
    </w:p>
    <w:p>
      <w:pPr>
        <w:widowControl/>
        <w:spacing w:line="500" w:lineRule="exact"/>
        <w:ind w:firstLine="554" w:firstLineChars="198"/>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会议决定各单位按《2018年专项自评工作任务表》开展相应专项自评工作。</w:t>
      </w:r>
    </w:p>
    <w:p>
      <w:pPr>
        <w:widowControl/>
        <w:spacing w:line="500" w:lineRule="exact"/>
        <w:ind w:firstLine="554" w:firstLineChars="198"/>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各职能部门要认真按《普通高等学校本科教学工作合格评估指标体系》和《普通高等学校基本办学条件指标》的要求，组织开展相应专项自评工作任务，发现问题与不足，找出整改措施与办法，形成自评报告和支撑材料。</w:t>
      </w:r>
    </w:p>
    <w:p>
      <w:pPr>
        <w:widowControl/>
        <w:spacing w:line="500" w:lineRule="exact"/>
        <w:ind w:firstLine="554" w:firstLineChars="198"/>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邵玉副院长指出《本科教学合格评估评建任务及材料目录指南》共包含评建材料986条,内容多、任务重，要求各评建工作组要认真按照此文件内容将实际工作进行梳理，在此基础上保质保量地完成评建任务；同时要求合格评估办公室做好督导检查工作，并通过评建工作简报方式公布检查结果。</w:t>
      </w:r>
    </w:p>
    <w:p>
      <w:pPr>
        <w:widowControl/>
        <w:spacing w:line="500" w:lineRule="exact"/>
        <w:ind w:firstLine="554" w:firstLineChars="198"/>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李康举院长强调合格评估是我校的生死线，各单位要将各自的评建任务读懂弄通、及时消化理解、认真对比现状、拿出问题清单、积极进行整改，保证我校一次性通过合格评估。</w:t>
      </w:r>
    </w:p>
    <w:p>
      <w:pPr>
        <w:widowControl/>
        <w:spacing w:line="500" w:lineRule="exact"/>
        <w:ind w:firstLine="554" w:firstLineChars="198"/>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李院长指出评建任务虽然看似内容繁重、评建材料看似数量庞大，但只要大家各自做好自身工作、履行好自身职责，将任务逐级分解、层层落实，踏踏实实、一步一步地按计划完成，相信在大家的共同努力下，一定能顺利完成合格评估的任务。</w:t>
      </w:r>
    </w:p>
    <w:p>
      <w:pPr>
        <w:ind w:right="-420" w:rightChars="-200"/>
        <w:rPr>
          <w:rFonts w:ascii="黑体" w:hAnsi="黑体" w:eastAsia="黑体" w:cs="黑体"/>
          <w:bCs/>
          <w:sz w:val="32"/>
          <w:szCs w:val="32"/>
        </w:rPr>
      </w:pPr>
      <w:r>
        <w:rPr>
          <w:rFonts w:hint="eastAsia" w:ascii="黑体" w:hAnsi="黑体" w:eastAsia="黑体" w:cs="黑体"/>
          <w:bCs/>
          <w:sz w:val="32"/>
          <w:szCs w:val="32"/>
        </w:rPr>
        <w:t>二、发布本科教学合格评估评建任务及材料目录指南</w:t>
      </w:r>
    </w:p>
    <w:p>
      <w:pPr>
        <w:widowControl/>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本科教学合格评估评建材料涉及条目986条，由各职能部门、评估办、评建工作领导小组共同完成。指南是根据教育部的评估指标及要求所做的进一步细化，初步明确了评建任务、评建材料、责任部门、协作部门和完成时间，各责任部门可根据我校实际增加或变更材料目录，创造性地收集和整理有关材料，以充分反映我校在各个方面所作出的成绩。</w:t>
      </w:r>
    </w:p>
    <w:p>
      <w:pPr>
        <w:widowControl/>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各材料的收集和整理以责任部门为主，责任部门需指导协作部门开展工作，为协作部门存档提供必要的指导和说明，如明确评建材料责任人、需要哪些原始纸质版材料、哪些电子版材料等。协作部门要积极配合，保证材料的收集和整理全面、系统、真实、有效。</w:t>
      </w:r>
    </w:p>
    <w:p>
      <w:pPr>
        <w:widowControl/>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各学院为相关责任部门提供必要的材料，此外根据本学院的实际，梳理本学院的支撑材料目录，注重特色材料的收集和整理，系统建立学院资料室。</w:t>
      </w:r>
    </w:p>
    <w:p>
      <w:pPr>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原始材料留存在有关部门，责任部门对材料放置要心中有数，各部门领导对报告中材料的名称、来源、依据材料和原始材料存放地点要做到心中有数，要做到“说得出、理得清”。</w:t>
      </w:r>
    </w:p>
    <w:p>
      <w:pPr>
        <w:ind w:right="-420" w:rightChars="-200"/>
        <w:rPr>
          <w:rFonts w:ascii="黑体" w:hAnsi="黑体" w:eastAsia="黑体" w:cs="黑体"/>
          <w:bCs/>
          <w:sz w:val="32"/>
          <w:szCs w:val="32"/>
        </w:rPr>
      </w:pPr>
      <w:r>
        <w:rPr>
          <w:rFonts w:hint="eastAsia" w:ascii="黑体" w:hAnsi="黑体" w:eastAsia="黑体" w:cs="黑体"/>
          <w:bCs/>
          <w:sz w:val="32"/>
          <w:szCs w:val="32"/>
        </w:rPr>
        <w:t>三、检查反馈</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2018年4月2日至4月</w:t>
      </w:r>
      <w:r>
        <w:rPr>
          <w:rFonts w:hint="eastAsia" w:ascii="仿宋" w:hAnsi="仿宋" w:eastAsia="仿宋" w:cs="仿宋"/>
          <w:sz w:val="28"/>
          <w:szCs w:val="28"/>
          <w:lang w:val="en-US" w:eastAsia="zh-CN"/>
        </w:rPr>
        <w:t>24</w:t>
      </w:r>
      <w:r>
        <w:rPr>
          <w:rFonts w:hint="eastAsia" w:ascii="仿宋" w:hAnsi="仿宋" w:eastAsia="仿宋" w:cs="仿宋"/>
          <w:sz w:val="28"/>
          <w:szCs w:val="28"/>
        </w:rPr>
        <w:t>日，评估办对</w:t>
      </w:r>
      <w:r>
        <w:rPr>
          <w:rFonts w:hint="eastAsia" w:ascii="仿宋" w:hAnsi="仿宋" w:eastAsia="仿宋" w:cs="仿宋"/>
          <w:sz w:val="28"/>
          <w:szCs w:val="28"/>
          <w:lang w:eastAsia="zh-CN"/>
        </w:rPr>
        <w:t>《本科教学合格评估评建任务及</w:t>
      </w:r>
      <w:r>
        <w:rPr>
          <w:rFonts w:hint="eastAsia" w:ascii="仿宋" w:hAnsi="仿宋" w:eastAsia="仿宋" w:cs="仿宋"/>
          <w:sz w:val="28"/>
          <w:szCs w:val="28"/>
        </w:rPr>
        <w:t>评建材料</w:t>
      </w:r>
      <w:r>
        <w:rPr>
          <w:rFonts w:hint="eastAsia" w:ascii="仿宋" w:hAnsi="仿宋" w:eastAsia="仿宋" w:cs="仿宋"/>
          <w:sz w:val="28"/>
          <w:szCs w:val="28"/>
          <w:lang w:eastAsia="zh-CN"/>
        </w:rPr>
        <w:t>目录</w:t>
      </w:r>
      <w:r>
        <w:rPr>
          <w:rFonts w:hint="eastAsia" w:ascii="仿宋" w:hAnsi="仿宋" w:eastAsia="仿宋" w:cs="仿宋"/>
          <w:sz w:val="28"/>
          <w:szCs w:val="28"/>
        </w:rPr>
        <w:t>指南</w:t>
      </w:r>
      <w:r>
        <w:rPr>
          <w:rFonts w:hint="eastAsia" w:ascii="仿宋" w:hAnsi="仿宋" w:eastAsia="仿宋" w:cs="仿宋"/>
          <w:sz w:val="28"/>
          <w:szCs w:val="28"/>
          <w:lang w:eastAsia="zh-CN"/>
        </w:rPr>
        <w:t>》</w:t>
      </w:r>
      <w:r>
        <w:rPr>
          <w:rFonts w:hint="eastAsia" w:ascii="仿宋" w:hAnsi="仿宋" w:eastAsia="仿宋" w:cs="仿宋"/>
          <w:sz w:val="28"/>
          <w:szCs w:val="28"/>
        </w:rPr>
        <w:t>的内容进行了初次检查，检查对象为创新创业学院、思想政治理论课</w:t>
      </w:r>
      <w:r>
        <w:rPr>
          <w:rFonts w:hint="eastAsia" w:ascii="仿宋" w:hAnsi="仿宋" w:eastAsia="仿宋" w:cs="仿宋"/>
          <w:sz w:val="28"/>
          <w:szCs w:val="28"/>
          <w:lang w:eastAsia="zh-CN"/>
        </w:rPr>
        <w:t>教学研究</w:t>
      </w:r>
      <w:r>
        <w:rPr>
          <w:rFonts w:hint="eastAsia" w:ascii="仿宋" w:hAnsi="仿宋" w:eastAsia="仿宋" w:cs="仿宋"/>
          <w:sz w:val="28"/>
          <w:szCs w:val="28"/>
        </w:rPr>
        <w:t>部、</w:t>
      </w:r>
      <w:r>
        <w:rPr>
          <w:rFonts w:hint="eastAsia" w:ascii="仿宋" w:hAnsi="仿宋" w:eastAsia="仿宋" w:cs="仿宋"/>
          <w:sz w:val="28"/>
          <w:szCs w:val="28"/>
          <w:lang w:eastAsia="zh-CN"/>
        </w:rPr>
        <w:t>教师促进与教师发展中心、</w:t>
      </w:r>
      <w:r>
        <w:rPr>
          <w:rFonts w:hint="eastAsia" w:ascii="仿宋" w:hAnsi="仿宋" w:eastAsia="仿宋" w:cs="仿宋"/>
          <w:sz w:val="28"/>
          <w:szCs w:val="28"/>
        </w:rPr>
        <w:t>国际交流中心、</w:t>
      </w:r>
      <w:r>
        <w:rPr>
          <w:rFonts w:hint="eastAsia" w:ascii="仿宋" w:hAnsi="仿宋" w:eastAsia="仿宋" w:cs="仿宋"/>
          <w:sz w:val="28"/>
          <w:szCs w:val="28"/>
          <w:lang w:eastAsia="zh-CN"/>
        </w:rPr>
        <w:t>人力资源部、</w:t>
      </w:r>
      <w:r>
        <w:rPr>
          <w:rFonts w:hint="eastAsia" w:ascii="仿宋" w:hAnsi="仿宋" w:eastAsia="仿宋" w:cs="仿宋"/>
          <w:sz w:val="28"/>
          <w:szCs w:val="28"/>
        </w:rPr>
        <w:t>学生工作部、教学管理部。检查内容</w:t>
      </w:r>
      <w:r>
        <w:rPr>
          <w:rFonts w:hint="eastAsia" w:ascii="仿宋" w:hAnsi="仿宋" w:eastAsia="仿宋" w:cs="仿宋"/>
          <w:sz w:val="28"/>
          <w:szCs w:val="28"/>
          <w:lang w:eastAsia="zh-CN"/>
        </w:rPr>
        <w:t>以</w:t>
      </w:r>
      <w:r>
        <w:rPr>
          <w:rFonts w:hint="eastAsia" w:ascii="仿宋" w:hAnsi="仿宋" w:eastAsia="仿宋" w:cs="仿宋"/>
          <w:sz w:val="28"/>
          <w:szCs w:val="28"/>
        </w:rPr>
        <w:t>2017年</w:t>
      </w:r>
      <w:r>
        <w:rPr>
          <w:rFonts w:hint="eastAsia" w:ascii="仿宋" w:hAnsi="仿宋" w:eastAsia="仿宋" w:cs="仿宋"/>
          <w:sz w:val="28"/>
          <w:szCs w:val="28"/>
          <w:lang w:val="en-US" w:eastAsia="zh-CN"/>
        </w:rPr>
        <w:t>12月需要完成的</w:t>
      </w:r>
      <w:r>
        <w:rPr>
          <w:rFonts w:hint="eastAsia" w:ascii="仿宋" w:hAnsi="仿宋" w:eastAsia="仿宋" w:cs="仿宋"/>
          <w:sz w:val="28"/>
          <w:szCs w:val="28"/>
        </w:rPr>
        <w:t>制度建设相关</w:t>
      </w:r>
      <w:r>
        <w:rPr>
          <w:rFonts w:hint="eastAsia" w:ascii="仿宋" w:hAnsi="仿宋" w:eastAsia="仿宋" w:cs="仿宋"/>
          <w:sz w:val="28"/>
          <w:szCs w:val="28"/>
          <w:lang w:eastAsia="zh-CN"/>
        </w:rPr>
        <w:t>材料为主</w:t>
      </w:r>
      <w:r>
        <w:rPr>
          <w:rFonts w:hint="eastAsia" w:ascii="仿宋" w:hAnsi="仿宋" w:eastAsia="仿宋" w:cs="仿宋"/>
          <w:sz w:val="28"/>
          <w:szCs w:val="28"/>
        </w:rPr>
        <w:t>。</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本次检查收集了</w:t>
      </w:r>
      <w:r>
        <w:rPr>
          <w:rFonts w:hint="eastAsia" w:ascii="仿宋" w:hAnsi="仿宋" w:eastAsia="仿宋" w:cs="仿宋"/>
          <w:sz w:val="28"/>
          <w:szCs w:val="28"/>
          <w:lang w:val="en-US" w:eastAsia="zh-CN"/>
        </w:rPr>
        <w:t>7个</w:t>
      </w:r>
      <w:r>
        <w:rPr>
          <w:rFonts w:hint="eastAsia" w:ascii="仿宋" w:hAnsi="仿宋" w:eastAsia="仿宋" w:cs="仿宋"/>
          <w:sz w:val="28"/>
          <w:szCs w:val="28"/>
        </w:rPr>
        <w:t>部门的电子版材料，</w:t>
      </w:r>
      <w:r>
        <w:rPr>
          <w:rFonts w:hint="eastAsia" w:ascii="仿宋" w:hAnsi="仿宋" w:eastAsia="仿宋" w:cs="仿宋"/>
          <w:sz w:val="28"/>
          <w:szCs w:val="28"/>
          <w:lang w:eastAsia="zh-CN"/>
        </w:rPr>
        <w:t>其中</w:t>
      </w:r>
      <w:r>
        <w:rPr>
          <w:rFonts w:hint="eastAsia" w:ascii="仿宋" w:hAnsi="仿宋" w:eastAsia="仿宋" w:cs="仿宋"/>
          <w:sz w:val="28"/>
          <w:szCs w:val="28"/>
        </w:rPr>
        <w:t>创新创业学院</w:t>
      </w:r>
      <w:r>
        <w:rPr>
          <w:rFonts w:hint="eastAsia" w:ascii="仿宋" w:hAnsi="仿宋" w:eastAsia="仿宋" w:cs="仿宋"/>
          <w:sz w:val="28"/>
          <w:szCs w:val="28"/>
          <w:lang w:eastAsia="zh-CN"/>
        </w:rPr>
        <w:t>材料</w:t>
      </w:r>
      <w:r>
        <w:rPr>
          <w:rFonts w:hint="eastAsia" w:ascii="仿宋" w:hAnsi="仿宋" w:eastAsia="仿宋" w:cs="仿宋"/>
          <w:sz w:val="28"/>
          <w:szCs w:val="28"/>
          <w:lang w:val="en-US" w:eastAsia="zh-CN"/>
        </w:rPr>
        <w:t>3条</w:t>
      </w:r>
      <w:r>
        <w:rPr>
          <w:rFonts w:hint="eastAsia" w:ascii="仿宋" w:hAnsi="仿宋" w:eastAsia="仿宋" w:cs="仿宋"/>
          <w:sz w:val="28"/>
          <w:szCs w:val="28"/>
        </w:rPr>
        <w:t>、思想政治理论课</w:t>
      </w:r>
      <w:r>
        <w:rPr>
          <w:rFonts w:hint="eastAsia" w:ascii="仿宋" w:hAnsi="仿宋" w:eastAsia="仿宋" w:cs="仿宋"/>
          <w:sz w:val="28"/>
          <w:szCs w:val="28"/>
          <w:lang w:eastAsia="zh-CN"/>
        </w:rPr>
        <w:t>教学研究</w:t>
      </w:r>
      <w:r>
        <w:rPr>
          <w:rFonts w:hint="eastAsia" w:ascii="仿宋" w:hAnsi="仿宋" w:eastAsia="仿宋" w:cs="仿宋"/>
          <w:sz w:val="28"/>
          <w:szCs w:val="28"/>
        </w:rPr>
        <w:t>部</w:t>
      </w:r>
      <w:r>
        <w:rPr>
          <w:rFonts w:hint="eastAsia" w:ascii="仿宋" w:hAnsi="仿宋" w:eastAsia="仿宋" w:cs="仿宋"/>
          <w:sz w:val="28"/>
          <w:szCs w:val="28"/>
          <w:lang w:eastAsia="zh-CN"/>
        </w:rPr>
        <w:t>材料</w:t>
      </w:r>
      <w:r>
        <w:rPr>
          <w:rFonts w:hint="eastAsia" w:ascii="仿宋" w:hAnsi="仿宋" w:eastAsia="仿宋" w:cs="仿宋"/>
          <w:sz w:val="28"/>
          <w:szCs w:val="28"/>
          <w:lang w:val="en-US" w:eastAsia="zh-CN"/>
        </w:rPr>
        <w:t>1条</w:t>
      </w:r>
      <w:r>
        <w:rPr>
          <w:rFonts w:hint="eastAsia" w:ascii="仿宋" w:hAnsi="仿宋" w:eastAsia="仿宋" w:cs="仿宋"/>
          <w:sz w:val="28"/>
          <w:szCs w:val="28"/>
        </w:rPr>
        <w:t>、</w:t>
      </w:r>
      <w:r>
        <w:rPr>
          <w:rFonts w:hint="eastAsia" w:ascii="仿宋" w:hAnsi="仿宋" w:eastAsia="仿宋" w:cs="仿宋"/>
          <w:sz w:val="28"/>
          <w:szCs w:val="28"/>
          <w:lang w:eastAsia="zh-CN"/>
        </w:rPr>
        <w:t>教师促进与教师发展中心材料</w:t>
      </w:r>
      <w:r>
        <w:rPr>
          <w:rFonts w:hint="eastAsia" w:ascii="仿宋" w:hAnsi="仿宋" w:eastAsia="仿宋" w:cs="仿宋"/>
          <w:sz w:val="28"/>
          <w:szCs w:val="28"/>
          <w:lang w:val="en-US" w:eastAsia="zh-CN"/>
        </w:rPr>
        <w:t>2条、</w:t>
      </w:r>
      <w:r>
        <w:rPr>
          <w:rFonts w:hint="eastAsia" w:ascii="仿宋" w:hAnsi="仿宋" w:eastAsia="仿宋" w:cs="仿宋"/>
          <w:sz w:val="28"/>
          <w:szCs w:val="28"/>
        </w:rPr>
        <w:t>国际交流中心</w:t>
      </w:r>
      <w:r>
        <w:rPr>
          <w:rFonts w:hint="eastAsia" w:ascii="仿宋" w:hAnsi="仿宋" w:eastAsia="仿宋" w:cs="仿宋"/>
          <w:sz w:val="28"/>
          <w:szCs w:val="28"/>
          <w:lang w:eastAsia="zh-CN"/>
        </w:rPr>
        <w:t>材料</w:t>
      </w: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eastAsia="zh-CN"/>
        </w:rPr>
        <w:t>人力资源部材料</w:t>
      </w:r>
      <w:r>
        <w:rPr>
          <w:rFonts w:hint="eastAsia" w:ascii="仿宋" w:hAnsi="仿宋" w:eastAsia="仿宋" w:cs="仿宋"/>
          <w:sz w:val="28"/>
          <w:szCs w:val="28"/>
          <w:lang w:val="en-US" w:eastAsia="zh-CN"/>
        </w:rPr>
        <w:t>9条、</w:t>
      </w:r>
      <w:r>
        <w:rPr>
          <w:rFonts w:hint="eastAsia" w:ascii="仿宋" w:hAnsi="仿宋" w:eastAsia="仿宋" w:cs="仿宋"/>
          <w:sz w:val="28"/>
          <w:szCs w:val="28"/>
        </w:rPr>
        <w:t>学生工作部</w:t>
      </w:r>
      <w:r>
        <w:rPr>
          <w:rFonts w:hint="eastAsia" w:ascii="仿宋" w:hAnsi="仿宋" w:eastAsia="仿宋" w:cs="仿宋"/>
          <w:sz w:val="28"/>
          <w:szCs w:val="28"/>
          <w:lang w:eastAsia="zh-CN"/>
        </w:rPr>
        <w:t>材料</w:t>
      </w:r>
      <w:r>
        <w:rPr>
          <w:rFonts w:hint="eastAsia" w:ascii="仿宋" w:hAnsi="仿宋" w:eastAsia="仿宋" w:cs="仿宋"/>
          <w:sz w:val="28"/>
          <w:szCs w:val="28"/>
          <w:lang w:val="en-US" w:eastAsia="zh-CN"/>
        </w:rPr>
        <w:t>28条</w:t>
      </w:r>
      <w:r>
        <w:rPr>
          <w:rFonts w:hint="eastAsia" w:ascii="仿宋" w:hAnsi="仿宋" w:eastAsia="仿宋" w:cs="仿宋"/>
          <w:sz w:val="28"/>
          <w:szCs w:val="28"/>
        </w:rPr>
        <w:t>、教学管理部</w:t>
      </w:r>
      <w:r>
        <w:rPr>
          <w:rFonts w:hint="eastAsia" w:ascii="仿宋" w:hAnsi="仿宋" w:eastAsia="仿宋" w:cs="仿宋"/>
          <w:sz w:val="28"/>
          <w:szCs w:val="28"/>
          <w:lang w:eastAsia="zh-CN"/>
        </w:rPr>
        <w:t>材料</w:t>
      </w:r>
      <w:r>
        <w:rPr>
          <w:rFonts w:hint="eastAsia" w:ascii="仿宋" w:hAnsi="仿宋" w:eastAsia="仿宋" w:cs="仿宋"/>
          <w:sz w:val="28"/>
          <w:szCs w:val="28"/>
          <w:lang w:val="en-US" w:eastAsia="zh-CN"/>
        </w:rPr>
        <w:t>111条，</w:t>
      </w:r>
      <w:r>
        <w:rPr>
          <w:rFonts w:hint="eastAsia" w:ascii="仿宋" w:hAnsi="仿宋" w:eastAsia="仿宋" w:cs="仿宋"/>
          <w:sz w:val="28"/>
          <w:szCs w:val="28"/>
        </w:rPr>
        <w:t>共计</w:t>
      </w:r>
      <w:r>
        <w:rPr>
          <w:rFonts w:hint="eastAsia" w:ascii="仿宋" w:hAnsi="仿宋" w:eastAsia="仿宋" w:cs="仿宋"/>
          <w:sz w:val="28"/>
          <w:szCs w:val="28"/>
          <w:highlight w:val="none"/>
        </w:rPr>
        <w:t>15</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条，</w:t>
      </w:r>
      <w:r>
        <w:rPr>
          <w:rFonts w:hint="eastAsia" w:ascii="仿宋" w:hAnsi="仿宋" w:eastAsia="仿宋" w:cs="仿宋"/>
          <w:sz w:val="28"/>
          <w:szCs w:val="28"/>
        </w:rPr>
        <w:t>由于个别条目又进行了细分，实际</w:t>
      </w:r>
      <w:r>
        <w:rPr>
          <w:rFonts w:hint="eastAsia" w:ascii="仿宋" w:hAnsi="仿宋" w:eastAsia="仿宋" w:cs="仿宋"/>
          <w:sz w:val="28"/>
          <w:szCs w:val="28"/>
          <w:lang w:eastAsia="zh-CN"/>
        </w:rPr>
        <w:t>收集</w:t>
      </w:r>
      <w:r>
        <w:rPr>
          <w:rFonts w:hint="eastAsia" w:ascii="仿宋" w:hAnsi="仿宋" w:eastAsia="仿宋" w:cs="仿宋"/>
          <w:sz w:val="28"/>
          <w:szCs w:val="28"/>
        </w:rPr>
        <w:t>材料</w:t>
      </w:r>
      <w:r>
        <w:rPr>
          <w:rFonts w:hint="eastAsia" w:ascii="仿宋" w:hAnsi="仿宋" w:eastAsia="仿宋" w:cs="仿宋"/>
          <w:sz w:val="28"/>
          <w:szCs w:val="28"/>
          <w:lang w:val="en-US" w:eastAsia="zh-CN"/>
        </w:rPr>
        <w:t>246</w:t>
      </w:r>
      <w:r>
        <w:rPr>
          <w:rFonts w:hint="eastAsia" w:ascii="仿宋" w:hAnsi="仿宋" w:eastAsia="仿宋" w:cs="仿宋"/>
          <w:sz w:val="28"/>
          <w:szCs w:val="28"/>
        </w:rPr>
        <w:t>条。评估办对所有上交材料完成情况的一致性和完整性进行了检查，并逐一对完成情况进行了反馈回复，在此基础上，对63项评建材料给出了建议，给出建议数78条。本次检查存在的主要问题有以下几方面：1、部门提供的材料与评建材料目录指南要求的材料不一致；2、各学院统一上交的材料格式不统一；3、个别材料内容不完整。</w:t>
      </w:r>
      <w:r>
        <w:rPr>
          <w:rFonts w:hint="eastAsia" w:ascii="仿宋" w:hAnsi="仿宋" w:eastAsia="仿宋" w:cs="仿宋"/>
          <w:sz w:val="28"/>
          <w:szCs w:val="28"/>
          <w:lang w:eastAsia="zh-CN"/>
        </w:rPr>
        <w:t>各部门根据反馈意见进行了整改，使材料的完整性和一致性达到</w:t>
      </w:r>
      <w:r>
        <w:rPr>
          <w:rFonts w:hint="eastAsia" w:ascii="仿宋" w:hAnsi="仿宋" w:eastAsia="仿宋" w:cs="仿宋"/>
          <w:sz w:val="28"/>
          <w:szCs w:val="28"/>
          <w:lang w:val="en-US" w:eastAsia="zh-CN"/>
        </w:rPr>
        <w:t>100%。</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为了更好的开展后续工作，现提出如下建议：1、吃透评估指标内涵，理清思路，做好评估材料的合理归档。各单位负责人和材料收集人要认真学习《教育部本科教学工作合格评估指标体系》以及学校评估办网站上传的各类学习资料、文件通知等，做到材料内容符合学校实际，能够支撑指标体系的内涵，并做好合理归档。2、保证评估数据一致，防止出现逻辑上的错误。各部门间要及时做好沟通，了解相关的评估资料数据，避免评估资料数据出现相互矛盾现象。3、增强责任心。对于收集整理的材料，要认真核对，仔细审查，避免错别字、漏字、多字、少字、内容前后矛盾、文不对题、数据前后不一致、结构层次不规范等低级错误。</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16AF"/>
    <w:rsid w:val="00033524"/>
    <w:rsid w:val="002119EA"/>
    <w:rsid w:val="002805D9"/>
    <w:rsid w:val="002C3829"/>
    <w:rsid w:val="00354D63"/>
    <w:rsid w:val="003C0322"/>
    <w:rsid w:val="00553B51"/>
    <w:rsid w:val="005C47D1"/>
    <w:rsid w:val="005D150C"/>
    <w:rsid w:val="006A6306"/>
    <w:rsid w:val="007329C6"/>
    <w:rsid w:val="00755C97"/>
    <w:rsid w:val="007916AF"/>
    <w:rsid w:val="00803D04"/>
    <w:rsid w:val="0088642E"/>
    <w:rsid w:val="00954073"/>
    <w:rsid w:val="009D5D6A"/>
    <w:rsid w:val="00A106F2"/>
    <w:rsid w:val="00A57D71"/>
    <w:rsid w:val="00A97604"/>
    <w:rsid w:val="00AC5AD0"/>
    <w:rsid w:val="00BB1F3E"/>
    <w:rsid w:val="00C23A01"/>
    <w:rsid w:val="00C62FBF"/>
    <w:rsid w:val="00C86984"/>
    <w:rsid w:val="00CA5B69"/>
    <w:rsid w:val="00D40A6A"/>
    <w:rsid w:val="00E27DB3"/>
    <w:rsid w:val="00E5219D"/>
    <w:rsid w:val="02E649DA"/>
    <w:rsid w:val="03B67B73"/>
    <w:rsid w:val="073918BD"/>
    <w:rsid w:val="0879634E"/>
    <w:rsid w:val="0E416DF8"/>
    <w:rsid w:val="116C1BFB"/>
    <w:rsid w:val="124F4FED"/>
    <w:rsid w:val="1266633A"/>
    <w:rsid w:val="12880E60"/>
    <w:rsid w:val="12B25B9B"/>
    <w:rsid w:val="13F56102"/>
    <w:rsid w:val="153C14DC"/>
    <w:rsid w:val="165C48DE"/>
    <w:rsid w:val="173E6439"/>
    <w:rsid w:val="198E055D"/>
    <w:rsid w:val="1B323D31"/>
    <w:rsid w:val="1BC44B4D"/>
    <w:rsid w:val="1ED8499A"/>
    <w:rsid w:val="213C340A"/>
    <w:rsid w:val="21471390"/>
    <w:rsid w:val="22170851"/>
    <w:rsid w:val="24720720"/>
    <w:rsid w:val="24B668D7"/>
    <w:rsid w:val="255D1408"/>
    <w:rsid w:val="278A23FC"/>
    <w:rsid w:val="27972E37"/>
    <w:rsid w:val="2BF2354B"/>
    <w:rsid w:val="2DC211EB"/>
    <w:rsid w:val="2FD4373B"/>
    <w:rsid w:val="33646546"/>
    <w:rsid w:val="33FC2702"/>
    <w:rsid w:val="34796DC5"/>
    <w:rsid w:val="34E12124"/>
    <w:rsid w:val="353F67B6"/>
    <w:rsid w:val="35CE66C7"/>
    <w:rsid w:val="368C4C75"/>
    <w:rsid w:val="38A63B93"/>
    <w:rsid w:val="3A2564B7"/>
    <w:rsid w:val="3BAA2849"/>
    <w:rsid w:val="3EE11C73"/>
    <w:rsid w:val="41C27979"/>
    <w:rsid w:val="4329657B"/>
    <w:rsid w:val="4380529D"/>
    <w:rsid w:val="43B159D0"/>
    <w:rsid w:val="44C9046D"/>
    <w:rsid w:val="458D53F8"/>
    <w:rsid w:val="478877FE"/>
    <w:rsid w:val="47FE7D04"/>
    <w:rsid w:val="49457A7D"/>
    <w:rsid w:val="497967DD"/>
    <w:rsid w:val="4A4162AC"/>
    <w:rsid w:val="4A9C57D5"/>
    <w:rsid w:val="4BC80FE7"/>
    <w:rsid w:val="4BD176C2"/>
    <w:rsid w:val="4C8E58E9"/>
    <w:rsid w:val="4D203069"/>
    <w:rsid w:val="4D2B3415"/>
    <w:rsid w:val="4E905F02"/>
    <w:rsid w:val="505037DF"/>
    <w:rsid w:val="51444E8D"/>
    <w:rsid w:val="52EA09E8"/>
    <w:rsid w:val="55AE6E01"/>
    <w:rsid w:val="561B30B6"/>
    <w:rsid w:val="57ED190F"/>
    <w:rsid w:val="5AB02BAD"/>
    <w:rsid w:val="5B725F0A"/>
    <w:rsid w:val="5D2F2F44"/>
    <w:rsid w:val="5EE474E7"/>
    <w:rsid w:val="6118511A"/>
    <w:rsid w:val="62B20FCA"/>
    <w:rsid w:val="62D45595"/>
    <w:rsid w:val="666E2373"/>
    <w:rsid w:val="692A79EC"/>
    <w:rsid w:val="69313386"/>
    <w:rsid w:val="69AA1EA0"/>
    <w:rsid w:val="69C86ECC"/>
    <w:rsid w:val="6A096129"/>
    <w:rsid w:val="6A5737A9"/>
    <w:rsid w:val="6B6F3E26"/>
    <w:rsid w:val="6BE41A92"/>
    <w:rsid w:val="6C321114"/>
    <w:rsid w:val="6CA91583"/>
    <w:rsid w:val="6CAF508B"/>
    <w:rsid w:val="6ED3005F"/>
    <w:rsid w:val="716A7052"/>
    <w:rsid w:val="71D86E16"/>
    <w:rsid w:val="723E4A51"/>
    <w:rsid w:val="7373331B"/>
    <w:rsid w:val="73D4421A"/>
    <w:rsid w:val="741F406D"/>
    <w:rsid w:val="785E636A"/>
    <w:rsid w:val="7932057A"/>
    <w:rsid w:val="7A0F72AC"/>
    <w:rsid w:val="7A9D71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rPr>
      <w:rFonts w:hint="eastAsia" w:ascii="宋体" w:hAnsi="Courier New"/>
    </w:rPr>
  </w:style>
  <w:style w:type="paragraph" w:styleId="3">
    <w:name w:val="Balloon Text"/>
    <w:basedOn w:val="1"/>
    <w:link w:val="143"/>
    <w:unhideWhenUsed/>
    <w:qFormat/>
    <w:uiPriority w:val="99"/>
    <w:rPr>
      <w:sz w:val="18"/>
      <w:szCs w:val="18"/>
    </w:rPr>
  </w:style>
  <w:style w:type="paragraph" w:styleId="4">
    <w:name w:val="footer"/>
    <w:basedOn w:val="1"/>
    <w:link w:val="145"/>
    <w:semiHidden/>
    <w:unhideWhenUsed/>
    <w:qFormat/>
    <w:uiPriority w:val="99"/>
    <w:pPr>
      <w:tabs>
        <w:tab w:val="center" w:pos="4153"/>
        <w:tab w:val="right" w:pos="8306"/>
      </w:tabs>
      <w:snapToGrid w:val="0"/>
      <w:jc w:val="left"/>
    </w:pPr>
    <w:rPr>
      <w:sz w:val="18"/>
      <w:szCs w:val="18"/>
    </w:rPr>
  </w:style>
  <w:style w:type="paragraph" w:styleId="5">
    <w:name w:val="header"/>
    <w:basedOn w:val="1"/>
    <w:link w:val="14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Title"/>
    <w:basedOn w:val="1"/>
    <w:next w:val="1"/>
    <w:qFormat/>
    <w:uiPriority w:val="10"/>
    <w:pPr>
      <w:spacing w:line="460" w:lineRule="exact"/>
      <w:jc w:val="center"/>
      <w:outlineLvl w:val="0"/>
    </w:pPr>
    <w:rPr>
      <w:rFonts w:ascii="Calibri Light" w:hAnsi="Calibri Light" w:eastAsia="楷体" w:cs="Times New Roman"/>
      <w:b/>
      <w:bCs/>
      <w:sz w:val="24"/>
      <w:szCs w:val="32"/>
    </w:rPr>
  </w:style>
  <w:style w:type="character" w:styleId="9">
    <w:name w:val="Hyperlink"/>
    <w:basedOn w:val="8"/>
    <w:unhideWhenUsed/>
    <w:qFormat/>
    <w:uiPriority w:val="99"/>
    <w:rPr>
      <w:color w:val="0000FF"/>
      <w:u w:val="single"/>
    </w:rPr>
  </w:style>
  <w:style w:type="table" w:styleId="11">
    <w:name w:val="Table Grid"/>
    <w:basedOn w:val="1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font5"/>
    <w:basedOn w:val="1"/>
    <w:qFormat/>
    <w:uiPriority w:val="0"/>
    <w:pPr>
      <w:widowControl/>
      <w:spacing w:before="100" w:beforeAutospacing="1" w:after="100" w:afterAutospacing="1"/>
      <w:jc w:val="left"/>
    </w:pPr>
    <w:rPr>
      <w:rFonts w:ascii="Times New Roman" w:hAnsi="Times New Roman" w:eastAsia="宋体" w:cs="Times New Roman"/>
      <w:kern w:val="0"/>
      <w:sz w:val="22"/>
    </w:rPr>
  </w:style>
  <w:style w:type="paragraph" w:customStyle="1" w:styleId="13">
    <w:name w:val="font6"/>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14">
    <w:name w:val="font7"/>
    <w:basedOn w:val="1"/>
    <w:qFormat/>
    <w:uiPriority w:val="0"/>
    <w:pPr>
      <w:widowControl/>
      <w:spacing w:before="100" w:beforeAutospacing="1" w:after="100" w:afterAutospacing="1"/>
      <w:jc w:val="left"/>
    </w:pPr>
    <w:rPr>
      <w:rFonts w:ascii="仿宋_GB2312" w:hAnsi="宋体" w:eastAsia="仿宋_GB2312" w:cs="宋体"/>
      <w:kern w:val="0"/>
      <w:sz w:val="22"/>
    </w:rPr>
  </w:style>
  <w:style w:type="paragraph" w:customStyle="1" w:styleId="15">
    <w:name w:val="font8"/>
    <w:basedOn w:val="1"/>
    <w:qFormat/>
    <w:uiPriority w:val="0"/>
    <w:pPr>
      <w:widowControl/>
      <w:spacing w:before="100" w:beforeAutospacing="1" w:after="100" w:afterAutospacing="1"/>
      <w:jc w:val="left"/>
    </w:pPr>
    <w:rPr>
      <w:rFonts w:ascii="宋体" w:hAnsi="宋体" w:eastAsia="宋体" w:cs="宋体"/>
      <w:b/>
      <w:bCs/>
      <w:kern w:val="0"/>
      <w:sz w:val="28"/>
      <w:szCs w:val="28"/>
    </w:rPr>
  </w:style>
  <w:style w:type="paragraph" w:customStyle="1" w:styleId="16">
    <w:name w:val="xl154"/>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17">
    <w:name w:val="xl155"/>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18">
    <w:name w:val="xl156"/>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19">
    <w:name w:val="xl157"/>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20">
    <w:name w:val="xl158"/>
    <w:basedOn w:val="1"/>
    <w:qFormat/>
    <w:uiPriority w:val="0"/>
    <w:pPr>
      <w:widowControl/>
      <w:spacing w:before="100" w:beforeAutospacing="1" w:after="100" w:afterAutospacing="1"/>
      <w:jc w:val="center"/>
    </w:pPr>
    <w:rPr>
      <w:rFonts w:ascii="Times New Roman" w:hAnsi="Times New Roman" w:eastAsia="宋体" w:cs="Times New Roman"/>
      <w:kern w:val="0"/>
      <w:sz w:val="22"/>
    </w:rPr>
  </w:style>
  <w:style w:type="paragraph" w:customStyle="1" w:styleId="21">
    <w:name w:val="xl159"/>
    <w:basedOn w:val="1"/>
    <w:qFormat/>
    <w:uiPriority w:val="0"/>
    <w:pPr>
      <w:widowControl/>
      <w:pBdr>
        <w:top w:val="single" w:color="auto" w:sz="4" w:space="0"/>
        <w:left w:val="single" w:color="auto" w:sz="4" w:space="0"/>
        <w:right w:val="single" w:color="auto" w:sz="4" w:space="0"/>
      </w:pBdr>
      <w:shd w:val="clear" w:color="000000" w:fill="9BBB59"/>
      <w:spacing w:before="100" w:beforeAutospacing="1" w:after="100" w:afterAutospacing="1"/>
      <w:jc w:val="center"/>
    </w:pPr>
    <w:rPr>
      <w:rFonts w:ascii="宋体" w:hAnsi="宋体" w:eastAsia="宋体" w:cs="宋体"/>
      <w:kern w:val="0"/>
      <w:sz w:val="22"/>
    </w:rPr>
  </w:style>
  <w:style w:type="paragraph" w:customStyle="1" w:styleId="22">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9BBB59"/>
      <w:spacing w:before="100" w:beforeAutospacing="1" w:after="100" w:afterAutospacing="1"/>
      <w:jc w:val="center"/>
    </w:pPr>
    <w:rPr>
      <w:rFonts w:ascii="宋体" w:hAnsi="宋体" w:eastAsia="宋体" w:cs="宋体"/>
      <w:kern w:val="0"/>
      <w:sz w:val="22"/>
    </w:rPr>
  </w:style>
  <w:style w:type="paragraph" w:customStyle="1" w:styleId="23">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2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6">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7">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2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9">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30">
    <w:name w:val="xl168"/>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31">
    <w:name w:val="xl169"/>
    <w:basedOn w:val="1"/>
    <w:qFormat/>
    <w:uiPriority w:val="0"/>
    <w:pPr>
      <w:widowControl/>
      <w:pBdr>
        <w:left w:val="single" w:color="auto" w:sz="4" w:space="0"/>
      </w:pBdr>
      <w:spacing w:before="100" w:beforeAutospacing="1" w:after="100" w:afterAutospacing="1"/>
      <w:jc w:val="center"/>
    </w:pPr>
    <w:rPr>
      <w:rFonts w:ascii="宋体" w:hAnsi="宋体" w:eastAsia="宋体" w:cs="宋体"/>
      <w:kern w:val="0"/>
      <w:sz w:val="22"/>
    </w:rPr>
  </w:style>
  <w:style w:type="paragraph" w:customStyle="1" w:styleId="3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33">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34">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i/>
      <w:iCs/>
      <w:kern w:val="0"/>
      <w:sz w:val="22"/>
    </w:rPr>
  </w:style>
  <w:style w:type="paragraph" w:customStyle="1" w:styleId="35">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36">
    <w:name w:val="xl174"/>
    <w:basedOn w:val="1"/>
    <w:qFormat/>
    <w:uiPriority w:val="0"/>
    <w:pPr>
      <w:widowControl/>
      <w:pBdr>
        <w:left w:val="single" w:color="auto" w:sz="4" w:space="0"/>
      </w:pBdr>
      <w:spacing w:before="100" w:beforeAutospacing="1" w:after="100" w:afterAutospacing="1"/>
      <w:jc w:val="left"/>
    </w:pPr>
    <w:rPr>
      <w:rFonts w:ascii="宋体" w:hAnsi="宋体" w:eastAsia="宋体" w:cs="宋体"/>
      <w:kern w:val="0"/>
      <w:sz w:val="22"/>
    </w:rPr>
  </w:style>
  <w:style w:type="paragraph" w:customStyle="1" w:styleId="37">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38">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39">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4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41">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42">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43">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44">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45">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46">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47">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48">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2"/>
    </w:rPr>
  </w:style>
  <w:style w:type="paragraph" w:customStyle="1" w:styleId="49">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50">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1">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52">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3">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54">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5">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5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57">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8">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59">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60">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61">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62">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63">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64">
    <w:name w:val="xl202"/>
    <w:basedOn w:val="1"/>
    <w:qFormat/>
    <w:uiPriority w:val="0"/>
    <w:pPr>
      <w:widowControl/>
      <w:spacing w:before="100" w:beforeAutospacing="1" w:after="100" w:afterAutospacing="1"/>
      <w:jc w:val="left"/>
    </w:pPr>
    <w:rPr>
      <w:rFonts w:ascii="宋体" w:hAnsi="宋体" w:eastAsia="宋体" w:cs="宋体"/>
      <w:color w:val="C00000"/>
      <w:kern w:val="0"/>
      <w:sz w:val="22"/>
    </w:rPr>
  </w:style>
  <w:style w:type="paragraph" w:customStyle="1" w:styleId="65">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66">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67">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68">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2"/>
    </w:rPr>
  </w:style>
  <w:style w:type="paragraph" w:customStyle="1" w:styleId="69">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70">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71">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72">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73">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74">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2"/>
    </w:rPr>
  </w:style>
  <w:style w:type="paragraph" w:customStyle="1" w:styleId="75">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76">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77">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7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2"/>
    </w:rPr>
  </w:style>
  <w:style w:type="paragraph" w:customStyle="1" w:styleId="79">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80">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2"/>
    </w:rPr>
  </w:style>
  <w:style w:type="paragraph" w:customStyle="1" w:styleId="81">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82">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83">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84">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85">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86">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87">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88">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89">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2"/>
    </w:rPr>
  </w:style>
  <w:style w:type="paragraph" w:customStyle="1" w:styleId="90">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9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92">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93">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94">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95">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9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9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98">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99">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00">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01">
    <w:name w:val="xl239"/>
    <w:basedOn w:val="1"/>
    <w:qFormat/>
    <w:uiPriority w:val="0"/>
    <w:pPr>
      <w:widowControl/>
      <w:pBdr>
        <w:left w:val="single" w:color="auto" w:sz="4" w:space="0"/>
      </w:pBdr>
      <w:spacing w:before="100" w:beforeAutospacing="1" w:after="100" w:afterAutospacing="1"/>
      <w:jc w:val="center"/>
    </w:pPr>
    <w:rPr>
      <w:rFonts w:ascii="宋体" w:hAnsi="宋体" w:eastAsia="宋体" w:cs="宋体"/>
      <w:kern w:val="0"/>
      <w:sz w:val="22"/>
    </w:rPr>
  </w:style>
  <w:style w:type="paragraph" w:customStyle="1" w:styleId="102">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03">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0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05">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06">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07">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08">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09">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10">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2"/>
    </w:rPr>
  </w:style>
  <w:style w:type="paragraph" w:customStyle="1" w:styleId="111">
    <w:name w:val="xl24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12">
    <w:name w:val="xl25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13">
    <w:name w:val="xl25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14">
    <w:name w:val="xl25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15">
    <w:name w:val="xl25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16">
    <w:name w:val="xl25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17">
    <w:name w:val="xl25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18">
    <w:name w:val="xl25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19">
    <w:name w:val="xl2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20">
    <w:name w:val="xl2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21">
    <w:name w:val="xl25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22">
    <w:name w:val="xl26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23">
    <w:name w:val="xl26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24">
    <w:name w:val="xl26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25">
    <w:name w:val="xl26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26">
    <w:name w:val="xl26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27">
    <w:name w:val="xl26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28">
    <w:name w:val="xl2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29">
    <w:name w:val="xl267"/>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30">
    <w:name w:val="xl2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3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2"/>
    </w:rPr>
  </w:style>
  <w:style w:type="paragraph" w:customStyle="1" w:styleId="132">
    <w:name w:val="xl2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33">
    <w:name w:val="xl2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34">
    <w:name w:val="xl2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35">
    <w:name w:val="xl27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36">
    <w:name w:val="xl27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37">
    <w:name w:val="xl27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38">
    <w:name w:val="xl276"/>
    <w:basedOn w:val="1"/>
    <w:qFormat/>
    <w:uiPriority w:val="0"/>
    <w:pPr>
      <w:widowControl/>
      <w:pBdr>
        <w:left w:val="single" w:color="auto" w:sz="4" w:space="0"/>
      </w:pBdr>
      <w:spacing w:before="100" w:beforeAutospacing="1" w:after="100" w:afterAutospacing="1"/>
      <w:jc w:val="center"/>
    </w:pPr>
    <w:rPr>
      <w:rFonts w:ascii="宋体" w:hAnsi="宋体" w:eastAsia="宋体" w:cs="宋体"/>
      <w:color w:val="FF0000"/>
      <w:kern w:val="0"/>
      <w:sz w:val="22"/>
    </w:rPr>
  </w:style>
  <w:style w:type="paragraph" w:customStyle="1" w:styleId="139">
    <w:name w:val="xl277"/>
    <w:basedOn w:val="1"/>
    <w:qFormat/>
    <w:uiPriority w:val="0"/>
    <w:pPr>
      <w:widowControl/>
      <w:pBdr>
        <w:left w:val="single" w:color="auto" w:sz="4" w:space="0"/>
      </w:pBdr>
      <w:spacing w:before="100" w:beforeAutospacing="1" w:after="100" w:afterAutospacing="1"/>
      <w:jc w:val="left"/>
    </w:pPr>
    <w:rPr>
      <w:rFonts w:ascii="宋体" w:hAnsi="宋体" w:eastAsia="宋体" w:cs="宋体"/>
      <w:kern w:val="0"/>
      <w:sz w:val="22"/>
    </w:rPr>
  </w:style>
  <w:style w:type="paragraph" w:customStyle="1" w:styleId="140">
    <w:name w:val="xl278"/>
    <w:basedOn w:val="1"/>
    <w:qFormat/>
    <w:uiPriority w:val="0"/>
    <w:pPr>
      <w:widowControl/>
      <w:pBdr>
        <w:left w:val="single" w:color="auto" w:sz="4" w:space="0"/>
      </w:pBdr>
      <w:spacing w:before="100" w:beforeAutospacing="1" w:after="100" w:afterAutospacing="1"/>
      <w:jc w:val="left"/>
    </w:pPr>
    <w:rPr>
      <w:rFonts w:ascii="宋体" w:hAnsi="宋体" w:eastAsia="宋体" w:cs="宋体"/>
      <w:kern w:val="0"/>
      <w:sz w:val="22"/>
    </w:rPr>
  </w:style>
  <w:style w:type="paragraph" w:customStyle="1" w:styleId="141">
    <w:name w:val="xl279"/>
    <w:basedOn w:val="1"/>
    <w:qFormat/>
    <w:uiPriority w:val="0"/>
    <w:pPr>
      <w:widowControl/>
      <w:spacing w:before="100" w:beforeAutospacing="1" w:after="100" w:afterAutospacing="1"/>
      <w:jc w:val="center"/>
    </w:pPr>
    <w:rPr>
      <w:rFonts w:ascii="宋体" w:hAnsi="宋体" w:eastAsia="宋体" w:cs="宋体"/>
      <w:kern w:val="0"/>
      <w:sz w:val="22"/>
    </w:rPr>
  </w:style>
  <w:style w:type="paragraph" w:styleId="142">
    <w:name w:val="List Paragraph"/>
    <w:basedOn w:val="1"/>
    <w:qFormat/>
    <w:uiPriority w:val="34"/>
    <w:pPr>
      <w:ind w:firstLine="420" w:firstLineChars="200"/>
    </w:pPr>
  </w:style>
  <w:style w:type="character" w:customStyle="1" w:styleId="143">
    <w:name w:val="批注框文本 Char"/>
    <w:basedOn w:val="8"/>
    <w:link w:val="3"/>
    <w:semiHidden/>
    <w:qFormat/>
    <w:uiPriority w:val="99"/>
    <w:rPr>
      <w:sz w:val="18"/>
      <w:szCs w:val="18"/>
    </w:rPr>
  </w:style>
  <w:style w:type="character" w:customStyle="1" w:styleId="144">
    <w:name w:val="页眉 Char"/>
    <w:basedOn w:val="8"/>
    <w:link w:val="5"/>
    <w:semiHidden/>
    <w:qFormat/>
    <w:uiPriority w:val="99"/>
    <w:rPr>
      <w:kern w:val="2"/>
      <w:sz w:val="18"/>
      <w:szCs w:val="18"/>
    </w:rPr>
  </w:style>
  <w:style w:type="character" w:customStyle="1" w:styleId="145">
    <w:name w:val="页脚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335</Words>
  <Characters>1914</Characters>
  <Lines>15</Lines>
  <Paragraphs>4</Paragraphs>
  <ScaleCrop>false</ScaleCrop>
  <LinksUpToDate>false</LinksUpToDate>
  <CharactersWithSpaces>2245</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2018-03-16T01:38:00Z</dcterms:created>
  <dc:creator>dreamsummit</dc:creator>
  <cp:lastModifiedBy>欣</cp:lastModifiedBy>
  <dcterms:modified xsi:type="dcterms:W3CDTF">2018-04-26T04:03:39Z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