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仿宋_GB2312" w:hAnsi="仿宋_GB2312" w:eastAsia="仿宋_GB2312" w:cs="仿宋_GB2312"/>
          <w:sz w:val="32"/>
          <w:szCs w:val="32"/>
        </w:rPr>
      </w:pPr>
    </w:p>
    <w:p>
      <w:pPr>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关于对二级学院开展就业指导与服务及</w:t>
      </w: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就业基地建设专项自评工作检查的通知</w:t>
      </w:r>
    </w:p>
    <w:p>
      <w:pPr>
        <w:spacing w:line="620" w:lineRule="exact"/>
      </w:pP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各学院（创新创业学院）：</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普通高等学校本科教学工作合格评估指标体系》和《普通高等学校基本办学条件指标》的要求，依据《沈阳工学院本科教学工作合格评估实施方案》、《关于做好迎接本科教学合格评估工作的措施办法》，进一步推进我校高等教育质量保障体系建设，完善就业指导与服务及就业基地建设工作，在做好《本科教学工作合格评估评建任务及材料目录指南》工作的基础上，根据《2018年专项自评工作任务表》，招生就业部联合本科教学合格评估工作办公室</w:t>
      </w:r>
      <w:r>
        <w:rPr>
          <w:rFonts w:hint="eastAsia" w:ascii="仿宋_GB2312" w:hAnsi="仿宋_GB2312" w:eastAsia="仿宋_GB2312" w:cs="仿宋_GB2312"/>
          <w:sz w:val="32"/>
          <w:szCs w:val="32"/>
          <w:lang w:eastAsia="zh-CN"/>
        </w:rPr>
        <w:t>和督导审计</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对二级学院开展就业指导与服务、就业基地建设专项自评工作检查，检查结果将与毕业生就业创业工作先进集体和先进个人的评选挂钩，现将检查工作安排如下：</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一、检查时间：</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就业基地建设专项自评检查</w:t>
      </w:r>
      <w:r>
        <w:rPr>
          <w:rFonts w:hint="eastAsia" w:ascii="仿宋_GB2312" w:hAnsi="仿宋_GB2312" w:eastAsia="仿宋_GB2312" w:cs="仿宋_GB2312"/>
          <w:sz w:val="32"/>
          <w:szCs w:val="32"/>
          <w:lang w:eastAsia="zh-CN"/>
        </w:rPr>
        <w:t>时间：</w:t>
      </w:r>
      <w:r>
        <w:rPr>
          <w:rFonts w:hint="eastAsia" w:ascii="仿宋_GB2312" w:hAnsi="仿宋_GB2312" w:eastAsia="仿宋_GB2312" w:cs="仿宋_GB2312"/>
          <w:sz w:val="32"/>
          <w:szCs w:val="32"/>
        </w:rPr>
        <w:t>9月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 - 9月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就业指导与服务专项自评检查</w:t>
      </w:r>
      <w:r>
        <w:rPr>
          <w:rFonts w:hint="eastAsia" w:ascii="仿宋_GB2312" w:hAnsi="仿宋_GB2312" w:eastAsia="仿宋_GB2312" w:cs="仿宋_GB2312"/>
          <w:sz w:val="32"/>
          <w:szCs w:val="32"/>
          <w:lang w:eastAsia="zh-CN"/>
        </w:rPr>
        <w:t>另行通知。</w:t>
      </w:r>
    </w:p>
    <w:p>
      <w:pPr>
        <w:spacing w:line="620" w:lineRule="exact"/>
        <w:ind w:firstLine="640" w:firstLineChars="200"/>
        <w:rPr>
          <w:rFonts w:hint="eastAsia" w:ascii="仿宋_GB2312" w:hAnsi="仿宋_GB2312" w:eastAsia="仿宋_GB2312" w:cs="仿宋_GB2312"/>
          <w:sz w:val="32"/>
          <w:szCs w:val="32"/>
          <w:lang w:val="en-US" w:eastAsia="zh-CN"/>
        </w:rPr>
      </w:pPr>
    </w:p>
    <w:tbl>
      <w:tblPr>
        <w:tblStyle w:val="6"/>
        <w:tblW w:w="8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2101"/>
        <w:gridCol w:w="4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8481" w:type="dxa"/>
            <w:gridSpan w:val="3"/>
            <w:vAlign w:val="center"/>
          </w:tcPr>
          <w:p>
            <w:pPr>
              <w:spacing w:line="620" w:lineRule="exact"/>
              <w:jc w:val="center"/>
              <w:rPr>
                <w:rFonts w:hint="eastAsia" w:ascii="黑体" w:hAnsi="黑体" w:eastAsia="黑体" w:cs="黑体"/>
                <w:b/>
                <w:sz w:val="24"/>
                <w:szCs w:val="24"/>
              </w:rPr>
            </w:pPr>
            <w:r>
              <w:rPr>
                <w:rFonts w:hint="eastAsia" w:ascii="黑体" w:hAnsi="黑体" w:eastAsia="黑体" w:cs="黑体"/>
                <w:sz w:val="24"/>
                <w:szCs w:val="24"/>
                <w:lang w:eastAsia="zh-CN"/>
              </w:rPr>
              <w:t>各学院</w:t>
            </w:r>
            <w:r>
              <w:rPr>
                <w:rFonts w:hint="eastAsia" w:ascii="黑体" w:hAnsi="黑体" w:eastAsia="黑体" w:cs="黑体"/>
                <w:sz w:val="24"/>
                <w:szCs w:val="24"/>
              </w:rPr>
              <w:t>就业基地建设专项自评检查</w:t>
            </w:r>
            <w:r>
              <w:rPr>
                <w:rFonts w:hint="eastAsia" w:ascii="黑体" w:hAnsi="黑体" w:eastAsia="黑体" w:cs="黑体"/>
                <w:sz w:val="24"/>
                <w:szCs w:val="24"/>
                <w:lang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4190" w:type="dxa"/>
            <w:gridSpan w:val="2"/>
            <w:vAlign w:val="center"/>
          </w:tcPr>
          <w:p>
            <w:pPr>
              <w:spacing w:line="620" w:lineRule="exact"/>
              <w:jc w:val="center"/>
              <w:rPr>
                <w:rFonts w:hint="eastAsia" w:ascii="黑体" w:hAnsi="黑体" w:eastAsia="黑体" w:cs="黑体"/>
                <w:b/>
                <w:sz w:val="24"/>
                <w:szCs w:val="24"/>
              </w:rPr>
            </w:pPr>
            <w:r>
              <w:rPr>
                <w:rFonts w:hint="eastAsia" w:ascii="黑体" w:hAnsi="黑体" w:eastAsia="黑体" w:cs="黑体"/>
                <w:b/>
                <w:sz w:val="24"/>
                <w:szCs w:val="24"/>
              </w:rPr>
              <w:t>时间</w:t>
            </w:r>
          </w:p>
        </w:tc>
        <w:tc>
          <w:tcPr>
            <w:tcW w:w="4291" w:type="dxa"/>
            <w:vAlign w:val="center"/>
          </w:tcPr>
          <w:p>
            <w:pPr>
              <w:spacing w:line="620" w:lineRule="exact"/>
              <w:jc w:val="center"/>
              <w:rPr>
                <w:rFonts w:hint="eastAsia" w:ascii="黑体" w:hAnsi="黑体" w:eastAsia="黑体" w:cs="黑体"/>
                <w:b/>
                <w:sz w:val="24"/>
                <w:szCs w:val="24"/>
              </w:rPr>
            </w:pPr>
            <w:r>
              <w:rPr>
                <w:rFonts w:hint="eastAsia" w:ascii="黑体" w:hAnsi="黑体" w:eastAsia="黑体" w:cs="黑体"/>
                <w:b/>
                <w:sz w:val="24"/>
                <w:szCs w:val="24"/>
              </w:rPr>
              <w:t>二级学院名称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089" w:type="dxa"/>
            <w:vMerge w:val="restart"/>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9月</w:t>
            </w:r>
            <w:r>
              <w:rPr>
                <w:rFonts w:hint="eastAsia" w:ascii="黑体" w:hAnsi="黑体" w:eastAsia="黑体" w:cs="黑体"/>
                <w:sz w:val="24"/>
                <w:szCs w:val="24"/>
                <w:lang w:val="en-US" w:eastAsia="zh-CN"/>
              </w:rPr>
              <w:t>25</w:t>
            </w:r>
            <w:r>
              <w:rPr>
                <w:rFonts w:hint="eastAsia" w:ascii="黑体" w:hAnsi="黑体" w:eastAsia="黑体" w:cs="黑体"/>
                <w:sz w:val="24"/>
                <w:szCs w:val="24"/>
              </w:rPr>
              <w:t>日</w:t>
            </w:r>
          </w:p>
        </w:tc>
        <w:tc>
          <w:tcPr>
            <w:tcW w:w="210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上午</w:t>
            </w:r>
          </w:p>
        </w:tc>
        <w:tc>
          <w:tcPr>
            <w:tcW w:w="429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机械与运载学院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2089" w:type="dxa"/>
            <w:vMerge w:val="continue"/>
            <w:vAlign w:val="center"/>
          </w:tcPr>
          <w:p>
            <w:pPr>
              <w:spacing w:line="620" w:lineRule="exact"/>
              <w:jc w:val="center"/>
              <w:rPr>
                <w:rFonts w:hint="eastAsia" w:ascii="黑体" w:hAnsi="黑体" w:eastAsia="黑体" w:cs="黑体"/>
                <w:sz w:val="24"/>
                <w:szCs w:val="24"/>
              </w:rPr>
            </w:pPr>
          </w:p>
        </w:tc>
        <w:tc>
          <w:tcPr>
            <w:tcW w:w="210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下午</w:t>
            </w:r>
          </w:p>
        </w:tc>
        <w:tc>
          <w:tcPr>
            <w:tcW w:w="429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艺术与传媒学院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2089" w:type="dxa"/>
            <w:vMerge w:val="restart"/>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9月</w:t>
            </w:r>
            <w:r>
              <w:rPr>
                <w:rFonts w:hint="eastAsia" w:ascii="黑体" w:hAnsi="黑体" w:eastAsia="黑体" w:cs="黑体"/>
                <w:sz w:val="24"/>
                <w:szCs w:val="24"/>
                <w:lang w:val="en-US" w:eastAsia="zh-CN"/>
              </w:rPr>
              <w:t>26</w:t>
            </w:r>
            <w:r>
              <w:rPr>
                <w:rFonts w:hint="eastAsia" w:ascii="黑体" w:hAnsi="黑体" w:eastAsia="黑体" w:cs="黑体"/>
                <w:sz w:val="24"/>
                <w:szCs w:val="24"/>
              </w:rPr>
              <w:t>日</w:t>
            </w:r>
          </w:p>
        </w:tc>
        <w:tc>
          <w:tcPr>
            <w:tcW w:w="210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上午</w:t>
            </w:r>
          </w:p>
        </w:tc>
        <w:tc>
          <w:tcPr>
            <w:tcW w:w="429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信息与控制学院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2089" w:type="dxa"/>
            <w:vMerge w:val="continue"/>
            <w:vAlign w:val="center"/>
          </w:tcPr>
          <w:p>
            <w:pPr>
              <w:spacing w:line="620" w:lineRule="exact"/>
              <w:jc w:val="center"/>
              <w:rPr>
                <w:rFonts w:hint="eastAsia" w:ascii="黑体" w:hAnsi="黑体" w:eastAsia="黑体" w:cs="黑体"/>
                <w:sz w:val="24"/>
                <w:szCs w:val="24"/>
              </w:rPr>
            </w:pPr>
          </w:p>
        </w:tc>
        <w:tc>
          <w:tcPr>
            <w:tcW w:w="210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下午</w:t>
            </w:r>
          </w:p>
        </w:tc>
        <w:tc>
          <w:tcPr>
            <w:tcW w:w="429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能源与水利学院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2089" w:type="dxa"/>
            <w:vMerge w:val="restart"/>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9月</w:t>
            </w:r>
            <w:r>
              <w:rPr>
                <w:rFonts w:hint="eastAsia" w:ascii="黑体" w:hAnsi="黑体" w:eastAsia="黑体" w:cs="黑体"/>
                <w:sz w:val="24"/>
                <w:szCs w:val="24"/>
                <w:lang w:val="en-US" w:eastAsia="zh-CN"/>
              </w:rPr>
              <w:t>27</w:t>
            </w:r>
            <w:r>
              <w:rPr>
                <w:rFonts w:hint="eastAsia" w:ascii="黑体" w:hAnsi="黑体" w:eastAsia="黑体" w:cs="黑体"/>
                <w:sz w:val="24"/>
                <w:szCs w:val="24"/>
              </w:rPr>
              <w:t>日</w:t>
            </w:r>
          </w:p>
        </w:tc>
        <w:tc>
          <w:tcPr>
            <w:tcW w:w="210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上午</w:t>
            </w:r>
          </w:p>
        </w:tc>
        <w:tc>
          <w:tcPr>
            <w:tcW w:w="429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经济与管理学院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2089" w:type="dxa"/>
            <w:vMerge w:val="continue"/>
            <w:vAlign w:val="center"/>
          </w:tcPr>
          <w:p>
            <w:pPr>
              <w:spacing w:line="620" w:lineRule="exact"/>
              <w:jc w:val="center"/>
              <w:rPr>
                <w:rFonts w:hint="eastAsia" w:ascii="黑体" w:hAnsi="黑体" w:eastAsia="黑体" w:cs="黑体"/>
                <w:sz w:val="24"/>
                <w:szCs w:val="24"/>
              </w:rPr>
            </w:pPr>
          </w:p>
        </w:tc>
        <w:tc>
          <w:tcPr>
            <w:tcW w:w="210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下午</w:t>
            </w:r>
          </w:p>
        </w:tc>
        <w:tc>
          <w:tcPr>
            <w:tcW w:w="4291" w:type="dxa"/>
            <w:vAlign w:val="center"/>
          </w:tcPr>
          <w:p>
            <w:pPr>
              <w:spacing w:line="620" w:lineRule="exact"/>
              <w:jc w:val="center"/>
              <w:rPr>
                <w:rFonts w:hint="eastAsia" w:ascii="黑体" w:hAnsi="黑体" w:eastAsia="黑体" w:cs="黑体"/>
                <w:sz w:val="24"/>
                <w:szCs w:val="24"/>
              </w:rPr>
            </w:pPr>
            <w:r>
              <w:rPr>
                <w:rFonts w:hint="eastAsia" w:ascii="黑体" w:hAnsi="黑体" w:eastAsia="黑体" w:cs="黑体"/>
                <w:sz w:val="24"/>
                <w:szCs w:val="24"/>
              </w:rPr>
              <w:t>生命工程学院</w:t>
            </w:r>
          </w:p>
        </w:tc>
      </w:tr>
    </w:tbl>
    <w:p>
      <w:pPr>
        <w:spacing w:line="620" w:lineRule="exact"/>
        <w:rPr>
          <w:rFonts w:ascii="仿宋_GB2312" w:hAnsi="仿宋_GB2312" w:eastAsia="仿宋_GB2312" w:cs="仿宋_GB2312"/>
          <w:sz w:val="32"/>
          <w:szCs w:val="32"/>
        </w:rPr>
      </w:pP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二、检查工作组</w:t>
      </w:r>
    </w:p>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 w:cs="仿宋_GB2312"/>
          <w:sz w:val="32"/>
          <w:szCs w:val="32"/>
          <w:lang w:val="en-US" w:eastAsia="zh-CN"/>
        </w:rPr>
      </w:pPr>
      <w:r>
        <w:rPr>
          <w:rFonts w:hint="eastAsia" w:ascii="仿宋" w:hAnsi="仿宋" w:eastAsia="仿宋" w:cs="仿宋"/>
          <w:color w:val="000000"/>
          <w:kern w:val="0"/>
          <w:sz w:val="28"/>
          <w:szCs w:val="28"/>
          <w:lang w:eastAsia="zh-CN"/>
        </w:rPr>
        <w:t>招生就业部、本科教学合格评估工作办公室、督导审计部</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三、检查内容</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检查主要围绕就业指导与服务、就业基地建设</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方面开展检查。（检查具体内容见</w:t>
      </w:r>
      <w:r>
        <w:rPr>
          <w:rFonts w:hint="eastAsia" w:ascii="仿宋_GB2312" w:hAnsi="仿宋_GB2312" w:eastAsia="仿宋_GB2312" w:cs="仿宋_GB2312"/>
          <w:sz w:val="32"/>
          <w:szCs w:val="32"/>
          <w:lang w:eastAsia="zh-CN"/>
        </w:rPr>
        <w:t>清单目录</w:t>
      </w:r>
      <w:r>
        <w:rPr>
          <w:rFonts w:hint="eastAsia" w:ascii="仿宋_GB2312" w:hAnsi="仿宋_GB2312" w:eastAsia="仿宋_GB2312" w:cs="仿宋_GB2312"/>
          <w:sz w:val="32"/>
          <w:szCs w:val="32"/>
        </w:rPr>
        <w:t>）</w:t>
      </w:r>
    </w:p>
    <w:p>
      <w:pPr>
        <w:numPr>
          <w:ilvl w:val="0"/>
          <w:numId w:val="1"/>
        </w:numPr>
        <w:spacing w:line="6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听取工作汇报</w:t>
      </w:r>
    </w:p>
    <w:p>
      <w:pPr>
        <w:numPr>
          <w:ilvl w:val="0"/>
          <w:numId w:val="0"/>
        </w:num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重点听取各二级学院关于本科教学合格评估评建任务中有关就业指导与服务、就业基地建设专项自评工作的汇报。要求二级学院毕业生工作负责人到场。 </w:t>
      </w:r>
    </w:p>
    <w:p>
      <w:pPr>
        <w:numPr>
          <w:ilvl w:val="0"/>
          <w:numId w:val="1"/>
        </w:numPr>
        <w:spacing w:line="62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检查二级学院专项自评工作支撑材料</w:t>
      </w:r>
    </w:p>
    <w:p>
      <w:pPr>
        <w:numPr>
          <w:ilvl w:val="0"/>
          <w:numId w:val="0"/>
        </w:numPr>
        <w:spacing w:line="620" w:lineRule="exact"/>
        <w:ind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审核二级学院专项自评材料，检查线上材料与线下材料的完整性和一致性，佐证材料是否准备充分等。</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四、检查结果公布 </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检查的结果将在学校OA系统进行公布。检查结果将作为二级学院评建绩效考核的重要依据。 </w:t>
      </w:r>
    </w:p>
    <w:p>
      <w:pPr>
        <w:numPr>
          <w:ilvl w:val="0"/>
          <w:numId w:val="2"/>
        </w:numPr>
        <w:spacing w:line="620" w:lineRule="exact"/>
        <w:rPr>
          <w:rFonts w:ascii="仿宋_GB2312" w:hAnsi="仿宋_GB2312" w:eastAsia="仿宋_GB2312" w:cs="仿宋_GB2312"/>
          <w:sz w:val="32"/>
          <w:szCs w:val="32"/>
        </w:rPr>
      </w:pPr>
      <w:r>
        <w:rPr>
          <w:rFonts w:ascii="仿宋_GB2312" w:hAnsi="仿宋_GB2312" w:eastAsia="仿宋_GB2312" w:cs="仿宋_GB2312"/>
          <w:sz w:val="32"/>
          <w:szCs w:val="32"/>
        </w:rPr>
        <w:t>联系人</w:t>
      </w:r>
    </w:p>
    <w:p>
      <w:pPr>
        <w:numPr>
          <w:ilvl w:val="0"/>
          <w:numId w:val="0"/>
        </w:num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招生就业部</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刘刚</w:t>
      </w:r>
      <w:r>
        <w:rPr>
          <w:rFonts w:hint="eastAsia" w:ascii="仿宋_GB2312" w:hAnsi="仿宋_GB2312" w:eastAsia="仿宋_GB2312" w:cs="仿宋_GB2312"/>
          <w:sz w:val="32"/>
          <w:szCs w:val="32"/>
        </w:rPr>
        <w:t>（13842018775）</w:t>
      </w:r>
    </w:p>
    <w:p>
      <w:pPr>
        <w:spacing w:line="620" w:lineRule="exact"/>
        <w:rPr>
          <w:rFonts w:ascii="仿宋_GB2312" w:hAnsi="仿宋_GB2312" w:eastAsia="仿宋_GB2312" w:cs="仿宋_GB2312"/>
          <w:sz w:val="32"/>
          <w:szCs w:val="32"/>
        </w:rPr>
      </w:pPr>
    </w:p>
    <w:p>
      <w:pPr>
        <w:spacing w:line="620" w:lineRule="exact"/>
        <w:ind w:firstLine="6400" w:firstLineChars="20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招生就业部    </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2018年9月</w:t>
      </w:r>
    </w:p>
    <w:p>
      <w:pPr>
        <w:spacing w:line="620" w:lineRule="exact"/>
        <w:rPr>
          <w:rFonts w:ascii="方正小标宋简体" w:hAnsi="方正小标宋简体" w:eastAsia="方正小标宋简体" w:cs="方正小标宋简体"/>
          <w:sz w:val="44"/>
          <w:szCs w:val="44"/>
        </w:rPr>
      </w:pP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注意事项</w:t>
      </w:r>
    </w:p>
    <w:p>
      <w:pPr>
        <w:spacing w:line="620" w:lineRule="exact"/>
        <w:jc w:val="center"/>
        <w:rPr>
          <w:rFonts w:ascii="方正小标宋简体" w:hAnsi="方正小标宋简体" w:eastAsia="方正小标宋简体" w:cs="方正小标宋简体"/>
          <w:sz w:val="44"/>
          <w:szCs w:val="44"/>
        </w:rPr>
      </w:pPr>
    </w:p>
    <w:p>
      <w:pPr>
        <w:numPr>
          <w:ilvl w:val="0"/>
          <w:numId w:val="3"/>
        </w:numPr>
        <w:spacing w:line="62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“近三年”是指2017年、2018年、2019年。</w:t>
      </w:r>
    </w:p>
    <w:p>
      <w:pPr>
        <w:numPr>
          <w:ilvl w:val="0"/>
          <w:numId w:val="3"/>
        </w:num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在清单</w:t>
      </w:r>
      <w:r>
        <w:rPr>
          <w:rFonts w:hint="eastAsia" w:ascii="仿宋_GB2312" w:hAnsi="仿宋_GB2312" w:eastAsia="仿宋_GB2312" w:cs="仿宋_GB2312"/>
          <w:sz w:val="32"/>
          <w:szCs w:val="32"/>
        </w:rPr>
        <w:t>目录的具体要求上，各二级学院、各部门可根据实际情况进行调整，提供完整的支撑材料。</w:t>
      </w:r>
    </w:p>
    <w:p>
      <w:pPr>
        <w:numPr>
          <w:ilvl w:val="0"/>
          <w:numId w:val="3"/>
        </w:num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提供的材料可以是原件、复印件、</w:t>
      </w:r>
      <w:r>
        <w:rPr>
          <w:rFonts w:hint="eastAsia" w:ascii="仿宋_GB2312" w:hAnsi="仿宋_GB2312" w:eastAsia="仿宋_GB2312" w:cs="仿宋_GB2312"/>
          <w:sz w:val="32"/>
          <w:szCs w:val="32"/>
          <w:lang w:eastAsia="zh-CN"/>
        </w:rPr>
        <w:t>会议记录、纸质文件、</w:t>
      </w:r>
      <w:r>
        <w:rPr>
          <w:rFonts w:hint="eastAsia" w:ascii="仿宋_GB2312" w:hAnsi="仿宋_GB2312" w:eastAsia="仿宋_GB2312" w:cs="仿宋_GB2312"/>
          <w:sz w:val="32"/>
          <w:szCs w:val="32"/>
        </w:rPr>
        <w:t>文字图片、统计表，调查表、总结材料，说明、记录等。</w:t>
      </w:r>
    </w:p>
    <w:p>
      <w:pPr>
        <w:numPr>
          <w:ilvl w:val="0"/>
          <w:numId w:val="3"/>
        </w:num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统计材料要求按年分别统计，按时间先后排列，未明确要求“近三年”的，一般指现有情况。</w:t>
      </w:r>
    </w:p>
    <w:p>
      <w:pPr>
        <w:numPr>
          <w:ilvl w:val="0"/>
          <w:numId w:val="3"/>
        </w:numPr>
        <w:spacing w:line="62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各种材料要主意格式和规范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材料之间要有支撑关系</w:t>
      </w:r>
      <w:r>
        <w:rPr>
          <w:rFonts w:hint="eastAsia" w:ascii="仿宋_GB2312" w:hAnsi="仿宋_GB2312" w:eastAsia="仿宋_GB2312" w:cs="仿宋_GB2312"/>
          <w:color w:val="auto"/>
          <w:sz w:val="32"/>
          <w:szCs w:val="32"/>
          <w:highlight w:val="none"/>
          <w:lang w:eastAsia="zh-CN"/>
        </w:rPr>
        <w:t>，按目录装订</w:t>
      </w:r>
      <w:r>
        <w:rPr>
          <w:rFonts w:hint="eastAsia" w:ascii="仿宋_GB2312" w:hAnsi="仿宋_GB2312" w:eastAsia="仿宋_GB2312" w:cs="仿宋_GB2312"/>
          <w:color w:val="auto"/>
          <w:sz w:val="32"/>
          <w:szCs w:val="32"/>
          <w:highlight w:val="none"/>
        </w:rPr>
        <w:t>。</w:t>
      </w:r>
    </w:p>
    <w:p>
      <w:pPr>
        <w:numPr>
          <w:ilvl w:val="0"/>
          <w:numId w:val="3"/>
        </w:num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二级学院</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9月21日前</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招生就业</w:t>
      </w:r>
      <w:r>
        <w:rPr>
          <w:rFonts w:hint="eastAsia" w:ascii="仿宋_GB2312" w:hAnsi="仿宋_GB2312" w:eastAsia="仿宋_GB2312" w:cs="仿宋_GB2312"/>
          <w:sz w:val="32"/>
          <w:szCs w:val="32"/>
        </w:rPr>
        <w:t>部提供材料。</w:t>
      </w:r>
    </w:p>
    <w:p>
      <w:pPr>
        <w:numPr>
          <w:ilvl w:val="0"/>
          <w:numId w:val="3"/>
        </w:num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材料要求：清单目录、支撑材料，</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经主要负责人签字，材料应标注指标序号。</w:t>
      </w:r>
    </w:p>
    <w:p>
      <w:pPr>
        <w:spacing w:line="620" w:lineRule="exact"/>
        <w:rPr>
          <w:rFonts w:hint="eastAsia" w:ascii="仿宋_GB2312" w:hAnsi="仿宋_GB2312" w:eastAsia="仿宋_GB2312" w:cs="仿宋_GB2312"/>
          <w:sz w:val="32"/>
          <w:szCs w:val="32"/>
        </w:rPr>
      </w:pPr>
    </w:p>
    <w:p>
      <w:pPr>
        <w:spacing w:line="620" w:lineRule="exact"/>
        <w:rPr>
          <w:rFonts w:hint="eastAsia" w:ascii="仿宋_GB2312" w:hAnsi="仿宋_GB2312" w:eastAsia="仿宋_GB2312" w:cs="仿宋_GB2312"/>
          <w:sz w:val="32"/>
          <w:szCs w:val="32"/>
        </w:rPr>
      </w:pPr>
    </w:p>
    <w:p>
      <w:pPr>
        <w:spacing w:line="620" w:lineRule="exact"/>
        <w:rPr>
          <w:rFonts w:ascii="仿宋_GB2312" w:hAnsi="仿宋_GB2312" w:eastAsia="仿宋_GB2312" w:cs="仿宋_GB2312"/>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清单目录</w:t>
      </w:r>
    </w:p>
    <w:p>
      <w:pPr>
        <w:spacing w:line="620" w:lineRule="exact"/>
        <w:rPr>
          <w:rFonts w:hint="eastAsia" w:ascii="仿宋_GB2312" w:hAnsi="仿宋_GB2312" w:eastAsia="仿宋_GB2312" w:cs="仿宋_GB2312"/>
          <w:sz w:val="32"/>
          <w:szCs w:val="32"/>
        </w:rPr>
      </w:pPr>
    </w:p>
    <w:tbl>
      <w:tblPr>
        <w:tblStyle w:val="6"/>
        <w:tblW w:w="13027" w:type="dxa"/>
        <w:jc w:val="center"/>
        <w:tblInd w:w="15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396"/>
        <w:gridCol w:w="3516"/>
        <w:gridCol w:w="2985"/>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blHeader/>
          <w:jc w:val="center"/>
        </w:trPr>
        <w:tc>
          <w:tcPr>
            <w:tcW w:w="884" w:type="dxa"/>
            <w:vAlign w:val="center"/>
          </w:tcPr>
          <w:p>
            <w:pPr>
              <w:spacing w:line="500" w:lineRule="exact"/>
              <w:jc w:val="center"/>
              <w:rPr>
                <w:rFonts w:hint="eastAsia" w:ascii="黑体" w:hAnsi="黑体" w:eastAsia="黑体" w:cs="黑体"/>
                <w:b/>
                <w:bCs/>
                <w:color w:val="000000" w:themeColor="text1"/>
                <w:sz w:val="24"/>
                <w:highlight w:val="none"/>
                <w:lang w:eastAsia="zh-CN"/>
                <w14:textFill>
                  <w14:solidFill>
                    <w14:schemeClr w14:val="tx1"/>
                  </w14:solidFill>
                </w14:textFill>
              </w:rPr>
            </w:pPr>
            <w:r>
              <w:rPr>
                <w:rFonts w:hint="eastAsia" w:ascii="黑体" w:hAnsi="黑体" w:eastAsia="黑体" w:cs="黑体"/>
                <w:b/>
                <w:bCs/>
                <w:color w:val="000000" w:themeColor="text1"/>
                <w:sz w:val="24"/>
                <w:highlight w:val="none"/>
                <w:lang w:eastAsia="zh-CN"/>
                <w14:textFill>
                  <w14:solidFill>
                    <w14:schemeClr w14:val="tx1"/>
                  </w14:solidFill>
                </w14:textFill>
              </w:rPr>
              <w:t>项目</w:t>
            </w:r>
          </w:p>
        </w:tc>
        <w:tc>
          <w:tcPr>
            <w:tcW w:w="2396" w:type="dxa"/>
            <w:vAlign w:val="center"/>
          </w:tcPr>
          <w:p>
            <w:pPr>
              <w:spacing w:line="500" w:lineRule="exact"/>
              <w:jc w:val="center"/>
              <w:rPr>
                <w:rFonts w:hint="eastAsia" w:ascii="黑体" w:hAnsi="黑体" w:eastAsia="黑体" w:cs="黑体"/>
                <w:b/>
                <w:bCs/>
                <w:color w:val="000000" w:themeColor="text1"/>
                <w:sz w:val="24"/>
                <w:highlight w:val="none"/>
                <w14:textFill>
                  <w14:solidFill>
                    <w14:schemeClr w14:val="tx1"/>
                  </w14:solidFill>
                </w14:textFill>
              </w:rPr>
            </w:pPr>
            <w:r>
              <w:rPr>
                <w:rFonts w:hint="eastAsia" w:ascii="黑体" w:hAnsi="黑体" w:eastAsia="黑体" w:cs="黑体"/>
                <w:b/>
                <w:bCs/>
                <w:color w:val="000000" w:themeColor="text1"/>
                <w:sz w:val="24"/>
                <w:highlight w:val="none"/>
                <w14:textFill>
                  <w14:solidFill>
                    <w14:schemeClr w14:val="tx1"/>
                  </w14:solidFill>
                </w14:textFill>
              </w:rPr>
              <w:t>指标（分值）</w:t>
            </w:r>
          </w:p>
        </w:tc>
        <w:tc>
          <w:tcPr>
            <w:tcW w:w="3516" w:type="dxa"/>
            <w:vAlign w:val="center"/>
          </w:tcPr>
          <w:p>
            <w:pPr>
              <w:spacing w:line="500" w:lineRule="exact"/>
              <w:jc w:val="center"/>
              <w:rPr>
                <w:rFonts w:hint="eastAsia" w:ascii="黑体" w:hAnsi="黑体" w:eastAsia="黑体" w:cs="黑体"/>
                <w:b/>
                <w:bCs/>
                <w:color w:val="000000" w:themeColor="text1"/>
                <w:sz w:val="24"/>
                <w:highlight w:val="none"/>
                <w14:textFill>
                  <w14:solidFill>
                    <w14:schemeClr w14:val="tx1"/>
                  </w14:solidFill>
                </w14:textFill>
              </w:rPr>
            </w:pPr>
            <w:r>
              <w:rPr>
                <w:rFonts w:hint="eastAsia" w:ascii="黑体" w:hAnsi="黑体" w:eastAsia="黑体" w:cs="黑体"/>
                <w:b/>
                <w:bCs/>
                <w:color w:val="000000" w:themeColor="text1"/>
                <w:sz w:val="24"/>
                <w:highlight w:val="none"/>
                <w14:textFill>
                  <w14:solidFill>
                    <w14:schemeClr w14:val="tx1"/>
                  </w14:solidFill>
                </w14:textFill>
              </w:rPr>
              <w:t>检查内容</w:t>
            </w:r>
          </w:p>
        </w:tc>
        <w:tc>
          <w:tcPr>
            <w:tcW w:w="2985" w:type="dxa"/>
            <w:vAlign w:val="center"/>
          </w:tcPr>
          <w:p>
            <w:pPr>
              <w:spacing w:line="500" w:lineRule="exact"/>
              <w:jc w:val="center"/>
              <w:rPr>
                <w:rFonts w:hint="eastAsia" w:ascii="黑体" w:hAnsi="黑体" w:eastAsia="黑体" w:cs="黑体"/>
                <w:b/>
                <w:bCs/>
                <w:color w:val="000000" w:themeColor="text1"/>
                <w:sz w:val="24"/>
                <w:highlight w:val="none"/>
                <w14:textFill>
                  <w14:solidFill>
                    <w14:schemeClr w14:val="tx1"/>
                  </w14:solidFill>
                </w14:textFill>
              </w:rPr>
            </w:pPr>
            <w:r>
              <w:rPr>
                <w:rFonts w:hint="eastAsia" w:ascii="黑体" w:hAnsi="黑体" w:eastAsia="黑体" w:cs="黑体"/>
                <w:b/>
                <w:bCs/>
                <w:color w:val="000000" w:themeColor="text1"/>
                <w:sz w:val="24"/>
                <w:highlight w:val="none"/>
                <w14:textFill>
                  <w14:solidFill>
                    <w14:schemeClr w14:val="tx1"/>
                  </w14:solidFill>
                </w14:textFill>
              </w:rPr>
              <w:t>检查标准</w:t>
            </w:r>
          </w:p>
        </w:tc>
        <w:tc>
          <w:tcPr>
            <w:tcW w:w="3246" w:type="dxa"/>
            <w:vAlign w:val="center"/>
          </w:tcPr>
          <w:p>
            <w:pPr>
              <w:spacing w:line="500" w:lineRule="exact"/>
              <w:jc w:val="center"/>
              <w:rPr>
                <w:rFonts w:hint="eastAsia" w:ascii="黑体" w:hAnsi="黑体" w:eastAsia="黑体" w:cs="黑体"/>
                <w:b/>
                <w:bCs/>
                <w:color w:val="000000" w:themeColor="text1"/>
                <w:sz w:val="24"/>
                <w:highlight w:val="none"/>
                <w14:textFill>
                  <w14:solidFill>
                    <w14:schemeClr w14:val="tx1"/>
                  </w14:solidFill>
                </w14:textFill>
              </w:rPr>
            </w:pPr>
            <w:r>
              <w:rPr>
                <w:rFonts w:hint="eastAsia" w:ascii="黑体" w:hAnsi="黑体" w:eastAsia="黑体" w:cs="黑体"/>
                <w:b/>
                <w:bCs/>
                <w:color w:val="000000" w:themeColor="text1"/>
                <w:sz w:val="24"/>
                <w:highlight w:val="none"/>
                <w14:textFill>
                  <w14:solidFill>
                    <w14:schemeClr w14:val="tx1"/>
                  </w14:solidFill>
                </w14:textFill>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84" w:type="dxa"/>
            <w:vAlign w:val="center"/>
          </w:tcPr>
          <w:p>
            <w:pPr>
              <w:spacing w:line="260" w:lineRule="exact"/>
              <w:jc w:val="center"/>
              <w:rPr>
                <w:rFonts w:hint="eastAsia" w:ascii="黑体" w:hAnsi="黑体" w:eastAsia="黑体" w:cs="黑体"/>
                <w:color w:val="000000" w:themeColor="text1"/>
                <w:szCs w:val="21"/>
                <w:highlight w:val="none"/>
                <w:lang w:val="en-US" w:eastAsia="zh-CN"/>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就业基地建设</w:t>
            </w:r>
          </w:p>
        </w:tc>
        <w:tc>
          <w:tcPr>
            <w:tcW w:w="2396" w:type="dxa"/>
            <w:vAlign w:val="center"/>
          </w:tcPr>
          <w:p>
            <w:pPr>
              <w:spacing w:line="260" w:lineRule="exact"/>
              <w:jc w:val="both"/>
              <w:rPr>
                <w:rFonts w:hint="eastAsia" w:ascii="黑体" w:hAnsi="黑体" w:eastAsia="黑体" w:cs="黑体"/>
                <w:color w:val="000000" w:themeColor="text1"/>
                <w:sz w:val="24"/>
                <w:highlight w:val="none"/>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1.</w:t>
            </w:r>
            <w:r>
              <w:rPr>
                <w:rFonts w:hint="eastAsia" w:ascii="黑体" w:hAnsi="黑体" w:eastAsia="黑体" w:cs="黑体"/>
                <w:color w:val="000000" w:themeColor="text1"/>
                <w:szCs w:val="21"/>
                <w:highlight w:val="none"/>
                <w14:textFill>
                  <w14:solidFill>
                    <w14:schemeClr w14:val="tx1"/>
                  </w14:solidFill>
                </w14:textFill>
              </w:rPr>
              <w:t>建立就业基地情况</w:t>
            </w:r>
          </w:p>
        </w:tc>
        <w:tc>
          <w:tcPr>
            <w:tcW w:w="3516" w:type="dxa"/>
            <w:vAlign w:val="center"/>
          </w:tcPr>
          <w:p>
            <w:pPr>
              <w:spacing w:line="260" w:lineRule="exact"/>
              <w:jc w:val="both"/>
              <w:rPr>
                <w:rFonts w:hint="eastAsia" w:ascii="黑体" w:hAnsi="黑体" w:eastAsia="黑体" w:cs="黑体"/>
                <w:color w:val="000000" w:themeColor="text1"/>
                <w:sz w:val="24"/>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学院和用人单位合作、学生实践能力培养、提升毕业生就业能力的举措及成效；基地数量、进入基地学生数量和时间</w:t>
            </w:r>
          </w:p>
        </w:tc>
        <w:tc>
          <w:tcPr>
            <w:tcW w:w="2985" w:type="dxa"/>
            <w:vAlign w:val="center"/>
          </w:tcPr>
          <w:p>
            <w:pPr>
              <w:spacing w:line="260" w:lineRule="exact"/>
              <w:jc w:val="both"/>
              <w:rPr>
                <w:rFonts w:hint="eastAsia" w:ascii="黑体" w:hAnsi="黑体" w:eastAsia="黑体" w:cs="黑体"/>
                <w:color w:val="000000" w:themeColor="text1"/>
                <w:sz w:val="24"/>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是否有毕业生就业实习、实训或见习基地建设规划以及保障措施，并认真实施；形成良好的基地建设模式、机制；校企合作，基地数量是否逐年增加，并能满足学生就业实习需要。</w:t>
            </w:r>
          </w:p>
        </w:tc>
        <w:tc>
          <w:tcPr>
            <w:tcW w:w="324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1.与行业企业建立的人才培养合作方案；</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2.校外就业基地建设合作协议；</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3.校外基地建设文字材料、截图、照片。</w:t>
            </w:r>
          </w:p>
          <w:p>
            <w:pPr>
              <w:spacing w:line="260" w:lineRule="exact"/>
              <w:jc w:val="both"/>
              <w:rPr>
                <w:rFonts w:hint="eastAsia" w:ascii="黑体" w:hAnsi="黑体" w:eastAsia="黑体" w:cs="黑体"/>
                <w:color w:val="000000" w:themeColor="text1"/>
                <w:sz w:val="24"/>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4.校外就业基地运行情况统计表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884" w:type="dxa"/>
            <w:vMerge w:val="restart"/>
            <w:vAlign w:val="center"/>
          </w:tcPr>
          <w:p>
            <w:pPr>
              <w:spacing w:line="260" w:lineRule="exact"/>
              <w:jc w:val="center"/>
              <w:rPr>
                <w:rFonts w:hint="eastAsia" w:ascii="黑体" w:hAnsi="黑体" w:eastAsia="黑体" w:cs="黑体"/>
                <w:color w:val="000000" w:themeColor="text1"/>
                <w:szCs w:val="21"/>
                <w:highlight w:val="none"/>
                <w:lang w:val="en-US" w:eastAsia="zh-CN"/>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就业指导与服务</w:t>
            </w:r>
          </w:p>
        </w:tc>
        <w:tc>
          <w:tcPr>
            <w:tcW w:w="239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1.</w:t>
            </w:r>
            <w:r>
              <w:rPr>
                <w:rFonts w:hint="eastAsia" w:ascii="黑体" w:hAnsi="黑体" w:eastAsia="黑体" w:cs="黑体"/>
                <w:color w:val="000000" w:themeColor="text1"/>
                <w:szCs w:val="21"/>
                <w:highlight w:val="none"/>
                <w14:textFill>
                  <w14:solidFill>
                    <w14:schemeClr w14:val="tx1"/>
                  </w14:solidFill>
                </w14:textFill>
              </w:rPr>
              <w:t>就业统计表及用人单位对毕业生评价</w:t>
            </w:r>
          </w:p>
        </w:tc>
        <w:tc>
          <w:tcPr>
            <w:tcW w:w="351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对毕业生就业去向统计；用人单位对接收的毕业生评价。</w:t>
            </w:r>
          </w:p>
        </w:tc>
        <w:tc>
          <w:tcPr>
            <w:tcW w:w="2985"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对毕业生就业去向等有准确、客观的统计；用人单位对接收的毕业生满意度情况</w:t>
            </w:r>
          </w:p>
        </w:tc>
        <w:tc>
          <w:tcPr>
            <w:tcW w:w="324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毕业生就业去向统计表，用人单位对接受毕业生评价分析报告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5" w:hRule="atLeast"/>
          <w:jc w:val="center"/>
        </w:trPr>
        <w:tc>
          <w:tcPr>
            <w:tcW w:w="884" w:type="dxa"/>
            <w:vMerge w:val="continue"/>
            <w:vAlign w:val="center"/>
          </w:tcPr>
          <w:p>
            <w:pPr>
              <w:spacing w:line="260" w:lineRule="exact"/>
              <w:jc w:val="center"/>
              <w:rPr>
                <w:rFonts w:hint="eastAsia" w:ascii="黑体" w:hAnsi="黑体" w:eastAsia="黑体" w:cs="黑体"/>
                <w:color w:val="000000" w:themeColor="text1"/>
                <w:szCs w:val="21"/>
                <w:highlight w:val="none"/>
                <w:lang w:val="en-US" w:eastAsia="zh-CN"/>
                <w14:textFill>
                  <w14:solidFill>
                    <w14:schemeClr w14:val="tx1"/>
                  </w14:solidFill>
                </w14:textFill>
              </w:rPr>
            </w:pPr>
          </w:p>
        </w:tc>
        <w:tc>
          <w:tcPr>
            <w:tcW w:w="239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2.</w:t>
            </w:r>
            <w:r>
              <w:rPr>
                <w:rFonts w:hint="eastAsia" w:ascii="黑体" w:hAnsi="黑体" w:eastAsia="黑体" w:cs="黑体"/>
                <w:color w:val="000000" w:themeColor="text1"/>
                <w:szCs w:val="21"/>
                <w:highlight w:val="none"/>
                <w14:textFill>
                  <w14:solidFill>
                    <w14:schemeClr w14:val="tx1"/>
                  </w14:solidFill>
                </w14:textFill>
              </w:rPr>
              <w:t>学院就业工作分工负责的工作机制，责任清晰，任务明确。学院主要领导直接负责就业工作。</w:t>
            </w:r>
          </w:p>
        </w:tc>
        <w:tc>
          <w:tcPr>
            <w:tcW w:w="351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成立由院长为组长的就业工作领导小组，分工明确，就业工作列入院年度工作要点，同时纳入学院目标管理考核范围</w:t>
            </w:r>
          </w:p>
        </w:tc>
        <w:tc>
          <w:tcPr>
            <w:tcW w:w="2985"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1、将就业工作纳入学院整体发展规划</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2、成立学院毕业生就业工作领导小组</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3、每年促进毕业生就业的重要工作会不少于四次</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4.建立工作考核制度</w:t>
            </w:r>
          </w:p>
        </w:tc>
        <w:tc>
          <w:tcPr>
            <w:tcW w:w="324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1.学院相关文件；</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2.学院毕业生就业领导小组人员分工文件</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3.学院关于毕业生就业工作实施办法、工作方案资料。</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4、学院年度就业工作考核情况汇总资料（考核制度、过程及结果）；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884" w:type="dxa"/>
            <w:vMerge w:val="continue"/>
            <w:vAlign w:val="center"/>
          </w:tcPr>
          <w:p>
            <w:pPr>
              <w:spacing w:line="260" w:lineRule="exact"/>
              <w:jc w:val="center"/>
              <w:rPr>
                <w:rFonts w:hint="eastAsia" w:ascii="黑体" w:hAnsi="黑体" w:eastAsia="黑体" w:cs="黑体"/>
                <w:color w:val="000000" w:themeColor="text1"/>
                <w:szCs w:val="21"/>
                <w:highlight w:val="none"/>
                <w14:textFill>
                  <w14:solidFill>
                    <w14:schemeClr w14:val="tx1"/>
                  </w14:solidFill>
                </w14:textFill>
              </w:rPr>
            </w:pPr>
          </w:p>
        </w:tc>
        <w:tc>
          <w:tcPr>
            <w:tcW w:w="2396" w:type="dxa"/>
            <w:vAlign w:val="center"/>
          </w:tcPr>
          <w:p>
            <w:pPr>
              <w:spacing w:line="260" w:lineRule="exact"/>
              <w:jc w:val="both"/>
              <w:rPr>
                <w:rFonts w:hint="eastAsia" w:ascii="黑体" w:hAnsi="黑体" w:eastAsia="黑体" w:cs="黑体"/>
                <w:color w:val="000000" w:themeColor="text1"/>
                <w:szCs w:val="21"/>
                <w:highlight w:val="none"/>
                <w:lang w:val="en-US" w:eastAsia="zh-CN"/>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3.</w:t>
            </w:r>
            <w:r>
              <w:rPr>
                <w:rFonts w:hint="eastAsia" w:ascii="黑体" w:hAnsi="黑体" w:eastAsia="黑体" w:cs="黑体"/>
                <w:color w:val="000000" w:themeColor="text1"/>
                <w:szCs w:val="21"/>
                <w:highlight w:val="none"/>
                <w14:textFill>
                  <w14:solidFill>
                    <w14:schemeClr w14:val="tx1"/>
                  </w14:solidFill>
                </w14:textFill>
              </w:rPr>
              <w:t>就业指导队伍建设</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p>
        </w:tc>
        <w:tc>
          <w:tcPr>
            <w:tcW w:w="351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专职就业工作人员、专职就业指导教师、创业指导教师数量</w:t>
            </w:r>
            <w:r>
              <w:rPr>
                <w:rFonts w:hint="eastAsia" w:ascii="黑体" w:hAnsi="黑体" w:eastAsia="黑体" w:cs="黑体"/>
                <w:color w:val="000000" w:themeColor="text1"/>
                <w:szCs w:val="21"/>
                <w:highlight w:val="none"/>
                <w:lang w:eastAsia="zh-CN"/>
                <w14:textFill>
                  <w14:solidFill>
                    <w14:schemeClr w14:val="tx1"/>
                  </w14:solidFill>
                </w14:textFill>
              </w:rPr>
              <w:t>，</w:t>
            </w:r>
            <w:r>
              <w:rPr>
                <w:rFonts w:hint="eastAsia" w:ascii="黑体" w:hAnsi="黑体" w:eastAsia="黑体" w:cs="黑体"/>
                <w:color w:val="000000" w:themeColor="text1"/>
                <w:szCs w:val="21"/>
                <w:highlight w:val="none"/>
                <w14:textFill>
                  <w14:solidFill>
                    <w14:schemeClr w14:val="tx1"/>
                  </w14:solidFill>
                </w14:textFill>
              </w:rPr>
              <w:t>学历层次、职称结构及及就业指导师培训情况；就业指导课教师进修</w:t>
            </w:r>
            <w:bookmarkStart w:id="0" w:name="_GoBack"/>
            <w:bookmarkEnd w:id="0"/>
            <w:r>
              <w:rPr>
                <w:rFonts w:hint="eastAsia" w:ascii="黑体" w:hAnsi="黑体" w:eastAsia="黑体" w:cs="黑体"/>
                <w:color w:val="000000" w:themeColor="text1"/>
                <w:szCs w:val="21"/>
                <w:highlight w:val="none"/>
                <w14:textFill>
                  <w14:solidFill>
                    <w14:schemeClr w14:val="tx1"/>
                  </w14:solidFill>
                </w14:textFill>
              </w:rPr>
              <w:t>学习、业务培训纳入学院师资培养计划。</w:t>
            </w:r>
          </w:p>
          <w:p>
            <w:pPr>
              <w:spacing w:line="260" w:lineRule="exact"/>
              <w:jc w:val="both"/>
              <w:rPr>
                <w:rFonts w:hint="eastAsia" w:ascii="黑体" w:hAnsi="黑体" w:eastAsia="黑体" w:cs="黑体"/>
                <w:color w:val="000000" w:themeColor="text1"/>
                <w:szCs w:val="21"/>
                <w:highlight w:val="none"/>
                <w:lang w:eastAsia="zh-CN"/>
                <w14:textFill>
                  <w14:solidFill>
                    <w14:schemeClr w14:val="tx1"/>
                  </w14:solidFill>
                </w14:textFill>
              </w:rPr>
            </w:pPr>
          </w:p>
        </w:tc>
        <w:tc>
          <w:tcPr>
            <w:tcW w:w="2985" w:type="dxa"/>
            <w:vAlign w:val="center"/>
          </w:tcPr>
          <w:p>
            <w:pPr>
              <w:spacing w:line="260" w:lineRule="exact"/>
              <w:jc w:val="both"/>
              <w:rPr>
                <w:rFonts w:hint="eastAsia" w:ascii="黑体" w:hAnsi="黑体" w:eastAsia="黑体" w:cs="黑体"/>
                <w:color w:val="000000" w:themeColor="text1"/>
                <w:szCs w:val="21"/>
                <w:highlight w:val="none"/>
                <w:lang w:eastAsia="zh-CN"/>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专职就业工作人员、就业指导教师、创业指导教师数量是否达到要求</w:t>
            </w:r>
            <w:r>
              <w:rPr>
                <w:rFonts w:hint="eastAsia" w:ascii="黑体" w:hAnsi="黑体" w:eastAsia="黑体" w:cs="黑体"/>
                <w:color w:val="000000" w:themeColor="text1"/>
                <w:szCs w:val="21"/>
                <w:highlight w:val="none"/>
                <w:lang w:eastAsia="zh-CN"/>
                <w14:textFill>
                  <w14:solidFill>
                    <w14:schemeClr w14:val="tx1"/>
                  </w14:solidFill>
                </w14:textFill>
              </w:rPr>
              <w:t>，</w:t>
            </w:r>
            <w:r>
              <w:rPr>
                <w:rFonts w:hint="eastAsia" w:ascii="黑体" w:hAnsi="黑体" w:eastAsia="黑体" w:cs="黑体"/>
                <w:color w:val="000000" w:themeColor="text1"/>
                <w:szCs w:val="21"/>
                <w:highlight w:val="none"/>
                <w14:textFill>
                  <w14:solidFill>
                    <w14:schemeClr w14:val="tx1"/>
                  </w14:solidFill>
                </w14:textFill>
              </w:rPr>
              <w:t>并明确职责分工；是否制定培训计划，鼓励支持就业工作人员参与相关专项学习与培训。</w:t>
            </w:r>
          </w:p>
        </w:tc>
        <w:tc>
          <w:tcPr>
            <w:tcW w:w="3246" w:type="dxa"/>
            <w:vAlign w:val="center"/>
          </w:tcPr>
          <w:p>
            <w:pPr>
              <w:spacing w:line="260" w:lineRule="exact"/>
              <w:jc w:val="both"/>
              <w:rPr>
                <w:rFonts w:hint="eastAsia" w:ascii="黑体" w:hAnsi="黑体" w:eastAsia="黑体" w:cs="黑体"/>
                <w:color w:val="000000" w:themeColor="text1"/>
                <w:szCs w:val="21"/>
                <w:highlight w:val="none"/>
                <w:lang w:eastAsia="zh-CN"/>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专职就业工作人员、专职就业指导教师、创业指导教师名单</w:t>
            </w:r>
            <w:r>
              <w:rPr>
                <w:rFonts w:hint="eastAsia" w:ascii="黑体" w:hAnsi="黑体" w:eastAsia="黑体" w:cs="黑体"/>
                <w:color w:val="000000" w:themeColor="text1"/>
                <w:szCs w:val="21"/>
                <w:highlight w:val="none"/>
                <w:lang w:eastAsia="zh-CN"/>
                <w14:textFill>
                  <w14:solidFill>
                    <w14:schemeClr w14:val="tx1"/>
                  </w14:solidFill>
                </w14:textFill>
              </w:rPr>
              <w:t>，全年学习与培训人员名单与培训记录。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 w:hRule="atLeast"/>
          <w:jc w:val="center"/>
        </w:trPr>
        <w:tc>
          <w:tcPr>
            <w:tcW w:w="884" w:type="dxa"/>
            <w:vMerge w:val="continue"/>
            <w:vAlign w:val="center"/>
          </w:tcPr>
          <w:p>
            <w:pPr>
              <w:spacing w:line="260" w:lineRule="exact"/>
              <w:jc w:val="center"/>
              <w:rPr>
                <w:rFonts w:hint="eastAsia" w:ascii="黑体" w:hAnsi="黑体" w:eastAsia="黑体" w:cs="黑体"/>
                <w:color w:val="000000" w:themeColor="text1"/>
                <w:szCs w:val="21"/>
                <w:highlight w:val="none"/>
                <w:lang w:val="en-US" w:eastAsia="zh-CN"/>
                <w14:textFill>
                  <w14:solidFill>
                    <w14:schemeClr w14:val="tx1"/>
                  </w14:solidFill>
                </w14:textFill>
              </w:rPr>
            </w:pPr>
          </w:p>
        </w:tc>
        <w:tc>
          <w:tcPr>
            <w:tcW w:w="239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4.</w:t>
            </w:r>
            <w:r>
              <w:rPr>
                <w:rFonts w:hint="eastAsia" w:ascii="黑体" w:hAnsi="黑体" w:eastAsia="黑体" w:cs="黑体"/>
                <w:color w:val="000000" w:themeColor="text1"/>
                <w:szCs w:val="21"/>
                <w:highlight w:val="none"/>
                <w14:textFill>
                  <w14:solidFill>
                    <w14:schemeClr w14:val="tx1"/>
                  </w14:solidFill>
                </w14:textFill>
              </w:rPr>
              <w:t>就业工作专项经费</w:t>
            </w:r>
          </w:p>
        </w:tc>
        <w:tc>
          <w:tcPr>
            <w:tcW w:w="351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全年用于毕业生就业工作经费</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p>
        </w:tc>
        <w:tc>
          <w:tcPr>
            <w:tcW w:w="2985"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全年用于毕业生就业工作专项经费是否达到教育部规定的比例，并足额列入预算；毕业生就业预算经费是否到位及时，专款专用，使用合理，对促进毕业生就业发挥有效作用。</w:t>
            </w:r>
          </w:p>
        </w:tc>
        <w:tc>
          <w:tcPr>
            <w:tcW w:w="324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1．查看学院提供的年度就业工作经费预、决算材料；</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2．查看学校财务部门提供的每年各二级学院就业专项经费及使用情况决算表。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884" w:type="dxa"/>
            <w:vMerge w:val="continue"/>
            <w:vAlign w:val="center"/>
          </w:tcPr>
          <w:p>
            <w:pPr>
              <w:spacing w:line="260" w:lineRule="exact"/>
              <w:jc w:val="center"/>
              <w:rPr>
                <w:rFonts w:hint="eastAsia" w:ascii="黑体" w:hAnsi="黑体" w:eastAsia="黑体" w:cs="黑体"/>
                <w:color w:val="000000" w:themeColor="text1"/>
                <w:szCs w:val="21"/>
                <w:highlight w:val="none"/>
                <w:lang w:val="en-US" w:eastAsia="zh-CN"/>
                <w14:textFill>
                  <w14:solidFill>
                    <w14:schemeClr w14:val="tx1"/>
                  </w14:solidFill>
                </w14:textFill>
              </w:rPr>
            </w:pPr>
          </w:p>
        </w:tc>
        <w:tc>
          <w:tcPr>
            <w:tcW w:w="239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5.</w:t>
            </w:r>
            <w:r>
              <w:rPr>
                <w:rFonts w:hint="eastAsia" w:ascii="黑体" w:hAnsi="黑体" w:eastAsia="黑体" w:cs="黑体"/>
                <w:color w:val="000000" w:themeColor="text1"/>
                <w:szCs w:val="21"/>
                <w:highlight w:val="none"/>
                <w14:textFill>
                  <w14:solidFill>
                    <w14:schemeClr w14:val="tx1"/>
                  </w14:solidFill>
                </w14:textFill>
              </w:rPr>
              <w:t>宣传省内就业创业优惠政策、发展战略</w:t>
            </w:r>
            <w:r>
              <w:rPr>
                <w:rFonts w:hint="eastAsia" w:ascii="黑体" w:hAnsi="黑体" w:eastAsia="黑体" w:cs="黑体"/>
                <w:color w:val="000000" w:themeColor="text1"/>
                <w:szCs w:val="21"/>
                <w:highlight w:val="none"/>
                <w:lang w:eastAsia="zh-CN"/>
                <w14:textFill>
                  <w14:solidFill>
                    <w14:schemeClr w14:val="tx1"/>
                  </w14:solidFill>
                </w14:textFill>
              </w:rPr>
              <w:t>、</w:t>
            </w:r>
            <w:r>
              <w:rPr>
                <w:rFonts w:hint="eastAsia" w:ascii="黑体" w:hAnsi="黑体" w:eastAsia="黑体" w:cs="黑体"/>
                <w:color w:val="000000" w:themeColor="text1"/>
                <w:szCs w:val="21"/>
                <w:highlight w:val="none"/>
                <w14:textFill>
                  <w14:solidFill>
                    <w14:schemeClr w14:val="tx1"/>
                  </w14:solidFill>
                </w14:textFill>
              </w:rPr>
              <w:t>辽就业创业典型</w:t>
            </w:r>
          </w:p>
        </w:tc>
        <w:tc>
          <w:tcPr>
            <w:tcW w:w="351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学院宣传省内就业创业优惠政策、发展战略及在辽就业创业典型情况</w:t>
            </w:r>
          </w:p>
        </w:tc>
        <w:tc>
          <w:tcPr>
            <w:tcW w:w="2985"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学院是否多种形式宣传省内就业创业优惠政策、发展战略及在辽就业创业典型情况</w:t>
            </w:r>
          </w:p>
        </w:tc>
        <w:tc>
          <w:tcPr>
            <w:tcW w:w="3246" w:type="dxa"/>
            <w:vAlign w:val="center"/>
          </w:tcPr>
          <w:p>
            <w:pPr>
              <w:spacing w:line="260" w:lineRule="exact"/>
              <w:jc w:val="both"/>
              <w:rPr>
                <w:rFonts w:hint="eastAsia" w:ascii="黑体" w:hAnsi="黑体" w:eastAsia="黑体" w:cs="黑体"/>
                <w:color w:val="000000" w:themeColor="text1"/>
                <w:szCs w:val="21"/>
                <w:highlight w:val="none"/>
                <w:lang w:eastAsia="zh-CN"/>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学院宣传文字材料、截图、照片</w:t>
            </w:r>
            <w:r>
              <w:rPr>
                <w:rFonts w:hint="eastAsia" w:ascii="黑体" w:hAnsi="黑体" w:eastAsia="黑体" w:cs="黑体"/>
                <w:color w:val="000000" w:themeColor="text1"/>
                <w:szCs w:val="21"/>
                <w:highlight w:val="none"/>
                <w:lang w:eastAsia="zh-CN"/>
                <w14:textFill>
                  <w14:solidFill>
                    <w14:schemeClr w14:val="tx1"/>
                  </w14:solidFill>
                </w14:textFil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884" w:type="dxa"/>
            <w:vMerge w:val="continue"/>
            <w:vAlign w:val="center"/>
          </w:tcPr>
          <w:p>
            <w:pPr>
              <w:spacing w:line="260" w:lineRule="exact"/>
              <w:jc w:val="center"/>
              <w:rPr>
                <w:rFonts w:hint="eastAsia" w:ascii="黑体" w:hAnsi="黑体" w:eastAsia="黑体" w:cs="黑体"/>
                <w:color w:val="000000" w:themeColor="text1"/>
                <w:szCs w:val="21"/>
                <w:highlight w:val="none"/>
                <w:lang w:val="en-US" w:eastAsia="zh-CN"/>
                <w14:textFill>
                  <w14:solidFill>
                    <w14:schemeClr w14:val="tx1"/>
                  </w14:solidFill>
                </w14:textFill>
              </w:rPr>
            </w:pPr>
          </w:p>
        </w:tc>
        <w:tc>
          <w:tcPr>
            <w:tcW w:w="239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6.</w:t>
            </w:r>
            <w:r>
              <w:rPr>
                <w:rFonts w:hint="eastAsia" w:ascii="黑体" w:hAnsi="黑体" w:eastAsia="黑体" w:cs="黑体"/>
                <w:color w:val="000000" w:themeColor="text1"/>
                <w:szCs w:val="21"/>
                <w:highlight w:val="none"/>
                <w14:textFill>
                  <w14:solidFill>
                    <w14:schemeClr w14:val="tx1"/>
                  </w14:solidFill>
                </w14:textFill>
              </w:rPr>
              <w:t>与省内各市、各行业产业等开展对接活动</w:t>
            </w:r>
          </w:p>
        </w:tc>
        <w:tc>
          <w:tcPr>
            <w:tcW w:w="351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制定和实施就业市场开发方案；建立稳定的就业地区和企业群；建立实施用人单位资格审查制度和安全管理制度。</w:t>
            </w:r>
          </w:p>
        </w:tc>
        <w:tc>
          <w:tcPr>
            <w:tcW w:w="2985"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学院是否多种形式拓展就业渠道和就业市场，每年制定就业市场整体建设开发方案并认真组织实施。是否建立实施用人单位资格审查制度和安全管理制度。</w:t>
            </w:r>
          </w:p>
        </w:tc>
        <w:tc>
          <w:tcPr>
            <w:tcW w:w="324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学院就业市场建设方案，按其方案取得效果进展情况材料；用人单位资格审查制度和安全管理制度。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884" w:type="dxa"/>
            <w:vMerge w:val="continue"/>
            <w:vAlign w:val="center"/>
          </w:tcPr>
          <w:p>
            <w:pPr>
              <w:spacing w:line="260" w:lineRule="exact"/>
              <w:jc w:val="center"/>
              <w:rPr>
                <w:rFonts w:hint="eastAsia" w:ascii="黑体" w:hAnsi="黑体" w:eastAsia="黑体" w:cs="黑体"/>
                <w:color w:val="000000" w:themeColor="text1"/>
                <w:szCs w:val="21"/>
                <w:highlight w:val="none"/>
                <w:lang w:val="en-US" w:eastAsia="zh-CN"/>
                <w14:textFill>
                  <w14:solidFill>
                    <w14:schemeClr w14:val="tx1"/>
                  </w14:solidFill>
                </w14:textFill>
              </w:rPr>
            </w:pPr>
          </w:p>
        </w:tc>
        <w:tc>
          <w:tcPr>
            <w:tcW w:w="239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7.</w:t>
            </w:r>
            <w:r>
              <w:rPr>
                <w:rFonts w:hint="eastAsia" w:ascii="黑体" w:hAnsi="黑体" w:eastAsia="黑体" w:cs="黑体"/>
                <w:color w:val="000000" w:themeColor="text1"/>
                <w:szCs w:val="21"/>
                <w:highlight w:val="none"/>
                <w14:textFill>
                  <w14:solidFill>
                    <w14:schemeClr w14:val="tx1"/>
                  </w14:solidFill>
                </w14:textFill>
              </w:rPr>
              <w:t>开展专场招聘会</w:t>
            </w:r>
          </w:p>
        </w:tc>
        <w:tc>
          <w:tcPr>
            <w:tcW w:w="351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举办校园招聘活动情况及成效</w:t>
            </w:r>
          </w:p>
        </w:tc>
        <w:tc>
          <w:tcPr>
            <w:tcW w:w="2985"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学院是否有完善的校园市场准入制度和校园招聘活动安全管理制度，是否能有效规范双选活动的招聘及择业行为，切实维护用人单位和毕业生合法权益；是否定期举办校园招聘活动，推进多元化就业市场网络体系平台建设，网络招聘效果是否良好。</w:t>
            </w:r>
          </w:p>
        </w:tc>
        <w:tc>
          <w:tcPr>
            <w:tcW w:w="324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用人单位信息库；校园招聘会计划方案和报道材料；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884" w:type="dxa"/>
            <w:vMerge w:val="continue"/>
            <w:vAlign w:val="center"/>
          </w:tcPr>
          <w:p>
            <w:pPr>
              <w:spacing w:line="260" w:lineRule="exact"/>
              <w:jc w:val="center"/>
              <w:rPr>
                <w:rFonts w:hint="eastAsia" w:ascii="黑体" w:hAnsi="黑体" w:eastAsia="黑体" w:cs="黑体"/>
                <w:color w:val="000000" w:themeColor="text1"/>
                <w:szCs w:val="21"/>
                <w:highlight w:val="none"/>
                <w:lang w:val="en-US" w:eastAsia="zh-CN"/>
                <w14:textFill>
                  <w14:solidFill>
                    <w14:schemeClr w14:val="tx1"/>
                  </w14:solidFill>
                </w14:textFill>
              </w:rPr>
            </w:pPr>
          </w:p>
        </w:tc>
        <w:tc>
          <w:tcPr>
            <w:tcW w:w="239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9.</w:t>
            </w:r>
            <w:r>
              <w:rPr>
                <w:rFonts w:hint="eastAsia" w:ascii="黑体" w:hAnsi="黑体" w:eastAsia="黑体" w:cs="黑体"/>
                <w:color w:val="000000" w:themeColor="text1"/>
                <w:szCs w:val="21"/>
                <w:highlight w:val="none"/>
                <w14:textFill>
                  <w14:solidFill>
                    <w14:schemeClr w14:val="tx1"/>
                  </w14:solidFill>
                </w14:textFill>
              </w:rPr>
              <w:t>全年搜集、发布就业岗位数量</w:t>
            </w:r>
          </w:p>
        </w:tc>
        <w:tc>
          <w:tcPr>
            <w:tcW w:w="351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学院全年搜集、发布就业岗位数量不低于于本校毕业生的1.5倍。</w:t>
            </w:r>
          </w:p>
        </w:tc>
        <w:tc>
          <w:tcPr>
            <w:tcW w:w="2985"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学院全年搜集、发布就业岗位数量是否不低于本校毕业生的1.5倍。</w:t>
            </w:r>
          </w:p>
        </w:tc>
        <w:tc>
          <w:tcPr>
            <w:tcW w:w="324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以发布在学校就业信息网的为准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884" w:type="dxa"/>
            <w:vMerge w:val="continue"/>
            <w:vAlign w:val="center"/>
          </w:tcPr>
          <w:p>
            <w:pPr>
              <w:spacing w:line="260" w:lineRule="exact"/>
              <w:jc w:val="center"/>
              <w:rPr>
                <w:rFonts w:hint="eastAsia" w:ascii="黑体" w:hAnsi="黑体" w:eastAsia="黑体" w:cs="黑体"/>
                <w:color w:val="000000" w:themeColor="text1"/>
                <w:szCs w:val="21"/>
                <w:highlight w:val="none"/>
                <w:lang w:val="en-US" w:eastAsia="zh-CN"/>
                <w14:textFill>
                  <w14:solidFill>
                    <w14:schemeClr w14:val="tx1"/>
                  </w14:solidFill>
                </w14:textFill>
              </w:rPr>
            </w:pPr>
          </w:p>
        </w:tc>
        <w:tc>
          <w:tcPr>
            <w:tcW w:w="239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10.</w:t>
            </w:r>
            <w:r>
              <w:rPr>
                <w:rFonts w:hint="eastAsia" w:ascii="黑体" w:hAnsi="黑体" w:eastAsia="黑体" w:cs="黑体"/>
                <w:color w:val="000000" w:themeColor="text1"/>
                <w:szCs w:val="21"/>
                <w:highlight w:val="none"/>
                <w14:textFill>
                  <w14:solidFill>
                    <w14:schemeClr w14:val="tx1"/>
                  </w14:solidFill>
                </w14:textFill>
              </w:rPr>
              <w:t>就业困难群体实施精准帮扶</w:t>
            </w:r>
          </w:p>
        </w:tc>
        <w:tc>
          <w:tcPr>
            <w:tcW w:w="351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特殊群体毕业生就业台帐和离校时未就业毕业生信息台账建立情况；采取的相关帮扶措施及效果。</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p>
        </w:tc>
        <w:tc>
          <w:tcPr>
            <w:tcW w:w="2985"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是否建有低保家庭毕业生、家庭经济困难毕业生、少数民族毕业生、残疾人毕业生等特殊群体毕业生就业台帐，离校时未就业毕业生信息台账。</w:t>
            </w:r>
          </w:p>
        </w:tc>
        <w:tc>
          <w:tcPr>
            <w:tcW w:w="324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1.特殊群体毕业生就业台帐</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2.典型帮扶案例</w:t>
            </w:r>
          </w:p>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3.离校时未就业毕业生信息台账及典型案例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884" w:type="dxa"/>
            <w:vMerge w:val="continue"/>
            <w:vAlign w:val="center"/>
          </w:tcPr>
          <w:p>
            <w:pPr>
              <w:spacing w:line="260" w:lineRule="exact"/>
              <w:jc w:val="center"/>
              <w:rPr>
                <w:rFonts w:hint="eastAsia" w:ascii="黑体" w:hAnsi="黑体" w:eastAsia="黑体" w:cs="黑体"/>
                <w:color w:val="000000" w:themeColor="text1"/>
                <w:szCs w:val="21"/>
                <w:highlight w:val="none"/>
                <w:lang w:val="en-US" w:eastAsia="zh-CN"/>
                <w14:textFill>
                  <w14:solidFill>
                    <w14:schemeClr w14:val="tx1"/>
                  </w14:solidFill>
                </w14:textFill>
              </w:rPr>
            </w:pPr>
          </w:p>
        </w:tc>
        <w:tc>
          <w:tcPr>
            <w:tcW w:w="239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11.</w:t>
            </w:r>
            <w:r>
              <w:rPr>
                <w:rFonts w:hint="eastAsia" w:ascii="黑体" w:hAnsi="黑体" w:eastAsia="黑体" w:cs="黑体"/>
                <w:color w:val="000000" w:themeColor="text1"/>
                <w:szCs w:val="21"/>
                <w:highlight w:val="none"/>
                <w14:textFill>
                  <w14:solidFill>
                    <w14:schemeClr w14:val="tx1"/>
                  </w14:solidFill>
                </w14:textFill>
              </w:rPr>
              <w:t>绩效管理考核机制，逐级审核和责任追究制度。</w:t>
            </w:r>
          </w:p>
        </w:tc>
        <w:tc>
          <w:tcPr>
            <w:tcW w:w="351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绩效管理考核机制，逐级审核和责任追究制度和对弄虚作假等问题问责制度。</w:t>
            </w:r>
          </w:p>
        </w:tc>
        <w:tc>
          <w:tcPr>
            <w:tcW w:w="2985"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学院是否建立绩效管理考核，逐级审核和责任追究、对弄虚作假等问题问责等制度</w:t>
            </w:r>
          </w:p>
        </w:tc>
        <w:tc>
          <w:tcPr>
            <w:tcW w:w="3246" w:type="dxa"/>
            <w:vAlign w:val="center"/>
          </w:tcPr>
          <w:p>
            <w:pPr>
              <w:spacing w:line="260" w:lineRule="exact"/>
              <w:jc w:val="both"/>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制度文件</w:t>
            </w:r>
          </w:p>
        </w:tc>
      </w:tr>
    </w:tbl>
    <w:p>
      <w:pPr>
        <w:spacing w:line="620" w:lineRule="exact"/>
        <w:rPr>
          <w:rFonts w:ascii="仿宋_GB2312" w:hAnsi="仿宋_GB2312" w:eastAsia="仿宋_GB2312" w:cs="仿宋_GB2312"/>
          <w:sz w:val="32"/>
          <w:szCs w:val="32"/>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CECA27"/>
    <w:multiLevelType w:val="singleLevel"/>
    <w:tmpl w:val="93CECA27"/>
    <w:lvl w:ilvl="0" w:tentative="0">
      <w:start w:val="1"/>
      <w:numFmt w:val="decimal"/>
      <w:suff w:val="nothing"/>
      <w:lvlText w:val="%1、"/>
      <w:lvlJc w:val="left"/>
    </w:lvl>
  </w:abstractNum>
  <w:abstractNum w:abstractNumId="1">
    <w:nsid w:val="DA2986E8"/>
    <w:multiLevelType w:val="singleLevel"/>
    <w:tmpl w:val="DA2986E8"/>
    <w:lvl w:ilvl="0" w:tentative="0">
      <w:start w:val="1"/>
      <w:numFmt w:val="decimal"/>
      <w:lvlText w:val="%1."/>
      <w:lvlJc w:val="left"/>
      <w:pPr>
        <w:tabs>
          <w:tab w:val="left" w:pos="312"/>
        </w:tabs>
      </w:pPr>
    </w:lvl>
  </w:abstractNum>
  <w:abstractNum w:abstractNumId="2">
    <w:nsid w:val="28D1A1C0"/>
    <w:multiLevelType w:val="singleLevel"/>
    <w:tmpl w:val="28D1A1C0"/>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568D3"/>
    <w:rsid w:val="00007347"/>
    <w:rsid w:val="00014E7D"/>
    <w:rsid w:val="00466FEC"/>
    <w:rsid w:val="00467081"/>
    <w:rsid w:val="004C59AF"/>
    <w:rsid w:val="008616A6"/>
    <w:rsid w:val="00B620BE"/>
    <w:rsid w:val="00D63022"/>
    <w:rsid w:val="00DF5F9F"/>
    <w:rsid w:val="0FBF4B30"/>
    <w:rsid w:val="14653EB6"/>
    <w:rsid w:val="14D401CE"/>
    <w:rsid w:val="16FD3E46"/>
    <w:rsid w:val="1D666BF6"/>
    <w:rsid w:val="22F97592"/>
    <w:rsid w:val="249444BF"/>
    <w:rsid w:val="375961DB"/>
    <w:rsid w:val="38B6248A"/>
    <w:rsid w:val="3BD433AC"/>
    <w:rsid w:val="3DA1078D"/>
    <w:rsid w:val="3E4C4BE9"/>
    <w:rsid w:val="44AD0A6A"/>
    <w:rsid w:val="457A5F14"/>
    <w:rsid w:val="45F63533"/>
    <w:rsid w:val="4C964FBD"/>
    <w:rsid w:val="4D216D66"/>
    <w:rsid w:val="4E086EE0"/>
    <w:rsid w:val="5BF7127A"/>
    <w:rsid w:val="5CDA5379"/>
    <w:rsid w:val="6A7F5DD2"/>
    <w:rsid w:val="6B1E7E54"/>
    <w:rsid w:val="6E3568D3"/>
    <w:rsid w:val="6F707D5A"/>
    <w:rsid w:val="72156F1C"/>
    <w:rsid w:val="73C022AC"/>
    <w:rsid w:val="775E18A4"/>
    <w:rsid w:val="7A073873"/>
    <w:rsid w:val="7A8A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493</Words>
  <Characters>2813</Characters>
  <Lines>23</Lines>
  <Paragraphs>6</Paragraphs>
  <TotalTime>32</TotalTime>
  <ScaleCrop>false</ScaleCrop>
  <LinksUpToDate>false</LinksUpToDate>
  <CharactersWithSpaces>3300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2018-07-16T03:33:00Z</dcterms:created>
  <dc:creator>Dear宝</dc:creator>
  <cp:lastModifiedBy>黓</cp:lastModifiedBy>
  <dcterms:modified xsi:type="dcterms:W3CDTF">2018-09-28T06:17:18Z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