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120"/>
        <w:jc w:val="left"/>
        <w:outlineLvl w:val="1"/>
        <w:rPr>
          <w:rFonts w:cs="Times New Roman" w:asciiTheme="minorEastAsia" w:hAnsiTheme="minorEastAsia"/>
          <w:b/>
          <w:bCs/>
          <w:color w:val="000000"/>
          <w:kern w:val="0"/>
          <w:sz w:val="44"/>
          <w:szCs w:val="44"/>
        </w:rPr>
      </w:pPr>
      <w:bookmarkStart w:id="0" w:name="_Toc478821318"/>
      <w:r>
        <w:drawing>
          <wp:inline distT="0" distB="0" distL="0" distR="0">
            <wp:extent cx="2543175" cy="666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2543175" cy="666750"/>
                    </a:xfrm>
                    <a:prstGeom prst="rect">
                      <a:avLst/>
                    </a:prstGeom>
                  </pic:spPr>
                </pic:pic>
              </a:graphicData>
            </a:graphic>
          </wp:inline>
        </w:drawing>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沈阳工学院本科教学工作合格评估</w:t>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工作简报</w:t>
      </w:r>
      <w:bookmarkEnd w:id="0"/>
    </w:p>
    <w:p>
      <w:pPr>
        <w:spacing w:line="360" w:lineRule="auto"/>
        <w:rPr>
          <w:rFonts w:ascii="宋体" w:hAnsi="宋体"/>
          <w:b/>
          <w:bCs/>
          <w:color w:val="000000"/>
          <w:sz w:val="24"/>
        </w:rPr>
      </w:pPr>
    </w:p>
    <w:p>
      <w:pPr>
        <w:spacing w:line="360" w:lineRule="auto"/>
        <w:rPr>
          <w:rFonts w:ascii="宋体" w:hAnsi="宋体"/>
          <w:b/>
          <w:bCs/>
          <w:color w:val="000000"/>
          <w:sz w:val="24"/>
        </w:rPr>
      </w:pPr>
      <w:r>
        <w:rPr>
          <w:rFonts w:hint="eastAsia" w:ascii="宋体" w:hAnsi="宋体"/>
          <w:b/>
          <w:bCs/>
          <w:color w:val="000000"/>
          <w:sz w:val="24"/>
        </w:rPr>
        <w:t>主办：合格评估工作办公室 2018年第2期（总第2期） 2018年5月16日</w:t>
      </w:r>
    </w:p>
    <w:p>
      <w:pPr>
        <w:spacing w:line="360" w:lineRule="auto"/>
        <w:rPr>
          <w:rFonts w:ascii="华文中宋" w:hAnsi="华文中宋" w:eastAsia="华文中宋"/>
          <w:b/>
          <w:bCs/>
          <w:sz w:val="28"/>
        </w:rPr>
      </w:pPr>
      <w:r>
        <w:rPr>
          <w:rFonts w:ascii="华文中宋" w:hAnsi="华文中宋" w:eastAsia="华文中宋"/>
          <w:b/>
          <w:bCs/>
          <w:sz w:val="28"/>
        </w:rPr>
        <w:pict>
          <v:line id="直线 3" o:spid="_x0000_s1026" o:spt="20" style="position:absolute;left:0pt;margin-left:-9pt;margin-top:15.6pt;height:0pt;width:432pt;z-index:251666432;mso-width-relative:page;mso-height-relative:page;" stroked="t" coordsize="21600,21600" o:gfxdata="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mXpaNoAAAAJAQAADwAAAAAAAAABACAAAAAi&#10;AAAAZHJzL2Rvd25yZXYueG1sUEsBAhQAFAAAAAgAh07iQKAlwgfPAQAAjgMAAA4AAAAAAAAAAQAg&#10;AAAAKQEAAGRycy9lMm9Eb2MueG1sUEsFBgAAAAAGAAYAWQEAAGoFAAAAAA==&#10;">
            <v:path arrowok="t"/>
            <v:fill focussize="0,0"/>
            <v:stroke weight="3pt" color="#FF0000"/>
            <v:imagedata o:title=""/>
            <o:lock v:ext="edit"/>
          </v:line>
        </w:pict>
      </w:r>
    </w:p>
    <w:p>
      <w:pPr>
        <w:ind w:right="-420" w:rightChars="-200"/>
        <w:rPr>
          <w:rFonts w:ascii="黑体" w:hAnsi="黑体" w:eastAsia="黑体" w:cs="黑体"/>
          <w:bCs/>
          <w:sz w:val="32"/>
          <w:szCs w:val="32"/>
        </w:rPr>
      </w:pPr>
      <w:r>
        <w:rPr>
          <w:rFonts w:hint="eastAsia" w:ascii="黑体" w:hAnsi="黑体" w:eastAsia="黑体" w:cs="黑体"/>
          <w:bCs/>
          <w:sz w:val="32"/>
          <w:szCs w:val="32"/>
        </w:rPr>
        <w:t>一、试卷单项自查情况通报</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2018年4月18日至4月25日，教学管理部开展了试卷单项自查工作，本科教学合格评估工作办公室对该工作进行了跟踪。</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本次检查由教学管理部组织实施，参加此次试卷自查的人员包括优秀教师和优秀教研室主任以及教学管理部人员。</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在试卷检查期间，本科教学合格评估工作办公室从制度层面、执行层面、改进层面对试卷单项自查工作进行了跟踪，主要开展了如下工作：</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1.制度层面</w:t>
      </w:r>
    </w:p>
    <w:p>
      <w:p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本科教学合格评估工作办公室对涉及试卷检查的《</w:t>
      </w:r>
      <w:bookmarkStart w:id="1" w:name="_Toc476901758"/>
      <w:bookmarkStart w:id="2" w:name="_Toc510444621"/>
      <w:r>
        <w:rPr>
          <w:rFonts w:hint="eastAsia" w:ascii="仿宋" w:hAnsi="仿宋" w:eastAsia="仿宋" w:cs="仿宋"/>
          <w:kern w:val="0"/>
          <w:sz w:val="28"/>
          <w:szCs w:val="28"/>
        </w:rPr>
        <w:t>沈阳工学院关于试卷批阅的管理规定</w:t>
      </w:r>
      <w:bookmarkEnd w:id="1"/>
      <w:bookmarkEnd w:id="2"/>
      <w:r>
        <w:rPr>
          <w:rFonts w:hint="eastAsia" w:ascii="仿宋" w:hAnsi="仿宋" w:eastAsia="仿宋" w:cs="仿宋"/>
          <w:kern w:val="0"/>
          <w:sz w:val="28"/>
          <w:szCs w:val="28"/>
        </w:rPr>
        <w:t>》、《沈阳工学院考试工作管理办法》、《沈阳工学院考试课考核管理办法》、《沈阳工学院考查课考核管理办法》、《沈阳工学院关于开卷考试的管理办法》、《关于成立沈阳工学院教学评估检查小组的决定》等相关制度进行查阅，相关制度齐全完备。</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2.执行层面</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试卷检查过程中，检查人员能够按照相关管理办法，对照《沈阳工学院试卷质量检查标准》，根据各学院开学初上报的试卷自查总结和检查整改情况进行检查，具体内容如下：试卷袋中各种资料存档是否齐全、是否配套；试卷袋封页、题签内容填写是否完整、相关内容填写是否符合规范要求；阅卷过程中是否严格按照我校《沈阳工学院关于试卷批阅的管理规定》进行试卷的批阅。</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3.改进层面</w:t>
      </w:r>
    </w:p>
    <w:p>
      <w:pPr>
        <w:ind w:right="-420" w:rightChars="-200"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建议教学管理部能够针对本次试卷检查中存在的问题进行分析，并形成分析报告，同时督促各教学单位做好整改工作。</w:t>
      </w:r>
    </w:p>
    <w:p>
      <w:pPr>
        <w:ind w:right="-420" w:rightChars="-200"/>
        <w:rPr>
          <w:rFonts w:ascii="黑体" w:hAnsi="黑体" w:eastAsia="黑体" w:cs="黑体"/>
          <w:bCs/>
          <w:sz w:val="32"/>
          <w:szCs w:val="32"/>
        </w:rPr>
      </w:pPr>
      <w:r>
        <w:rPr>
          <w:rFonts w:hint="eastAsia" w:ascii="黑体" w:hAnsi="黑体" w:eastAsia="黑体" w:cs="黑体"/>
          <w:bCs/>
          <w:sz w:val="32"/>
          <w:szCs w:val="32"/>
        </w:rPr>
        <w:t>二、评建材料检查反馈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2018年5月9日至5月15日，评估办对《本科教学合格评估评建任务及评建材料目录指南》的内容进行了检查，检查对象为行政工作部、人力资源部、教学管理部、网络管理中心、后勤保障部、资产财务部、学生工作部。检查内容为2018年4月之前所需完成的相关材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检查材料包含行政工作部5条、人力资源部3条、教学管理部1条、网络管理中心2条、后勤保障部1条、资产财务部1条、学生工作部1条，共计14条，由于个别条目又进行了细分，实际收集材料85份。评估办对上交材料完成情况的一致性和完整性进行了检查，对有疑义的材料逐一进行了反馈。建议各部门及时整改，使材料的完整性和一致性达到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在检查中发现以下两方面情况：</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1.发现相关人员对学校的规章制度了解不清楚、不熟悉，对于不清晰的内容未形成查阅《沈阳工学院规章制度管理办法》的习惯。</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2.学校工作目前采取二级管理的方式，对于部分制度是由职能部门按照职责分工要求各二级学院依据自身实际情况编制，对此类制度的起草、修订、存档、管理缺乏相应标准。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鉴于此特提出以下建议：</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sz w:val="28"/>
          <w:szCs w:val="28"/>
        </w:rPr>
        <w:t>1.在完成相关工作时，请各职能部门应首先查看《沈阳工学院规章制度管理办法》（沈工院发2017[9]号），从领导层至执行层主动学习相关制度，培养全员以制度为出发点的工作习惯，</w:t>
      </w:r>
      <w:r>
        <w:rPr>
          <w:rFonts w:hint="eastAsia" w:ascii="仿宋" w:hAnsi="仿宋" w:eastAsia="仿宋" w:cs="仿宋"/>
          <w:color w:val="auto"/>
          <w:sz w:val="28"/>
          <w:szCs w:val="28"/>
        </w:rPr>
        <w:t>建议</w:t>
      </w:r>
      <w:r>
        <w:rPr>
          <w:rFonts w:hint="eastAsia" w:ascii="仿宋" w:hAnsi="仿宋" w:eastAsia="仿宋" w:cs="仿宋"/>
          <w:color w:val="auto"/>
          <w:sz w:val="28"/>
          <w:szCs w:val="28"/>
          <w:lang w:eastAsia="zh-CN"/>
        </w:rPr>
        <w:t>各</w:t>
      </w:r>
      <w:r>
        <w:rPr>
          <w:rFonts w:hint="eastAsia" w:ascii="仿宋" w:hAnsi="仿宋" w:eastAsia="仿宋" w:cs="仿宋"/>
          <w:color w:val="auto"/>
          <w:sz w:val="28"/>
          <w:szCs w:val="28"/>
        </w:rPr>
        <w:t>单位组织相关人员开展培训，</w:t>
      </w:r>
      <w:r>
        <w:rPr>
          <w:rFonts w:hint="eastAsia" w:ascii="仿宋" w:hAnsi="仿宋" w:eastAsia="仿宋" w:cs="仿宋"/>
          <w:color w:val="auto"/>
          <w:sz w:val="28"/>
          <w:szCs w:val="28"/>
          <w:lang w:eastAsia="zh-CN"/>
        </w:rPr>
        <w:t>以便</w:t>
      </w:r>
      <w:r>
        <w:rPr>
          <w:rFonts w:hint="eastAsia" w:ascii="仿宋" w:hAnsi="仿宋" w:eastAsia="仿宋" w:cs="仿宋"/>
          <w:color w:val="auto"/>
          <w:sz w:val="28"/>
          <w:szCs w:val="28"/>
        </w:rPr>
        <w:t>有利于各项工作</w:t>
      </w:r>
      <w:r>
        <w:rPr>
          <w:rFonts w:hint="eastAsia" w:ascii="仿宋" w:hAnsi="仿宋" w:eastAsia="仿宋" w:cs="仿宋"/>
          <w:color w:val="auto"/>
          <w:sz w:val="28"/>
          <w:szCs w:val="28"/>
          <w:lang w:eastAsia="zh-CN"/>
        </w:rPr>
        <w:t>更加顺畅开展</w:t>
      </w:r>
      <w:r>
        <w:rPr>
          <w:rFonts w:hint="eastAsia" w:ascii="仿宋" w:hAnsi="仿宋" w:eastAsia="仿宋" w:cs="仿宋"/>
          <w:color w:val="auto"/>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2.各单位内部工作制度、管理制度等的</w:t>
      </w:r>
      <w:bookmarkStart w:id="3" w:name="_GoBack"/>
      <w:bookmarkEnd w:id="3"/>
      <w:r>
        <w:rPr>
          <w:rFonts w:hint="eastAsia" w:ascii="仿宋" w:hAnsi="仿宋" w:eastAsia="仿宋" w:cs="仿宋"/>
          <w:sz w:val="28"/>
          <w:szCs w:val="28"/>
        </w:rPr>
        <w:t>制定、修改、解释和废止，以及对具体事项的通知，各单位应有相关制度来支撑。建议各单位借评估契机，梳理相关制度，对于需多部门</w:t>
      </w:r>
      <w:r>
        <w:rPr>
          <w:rFonts w:hint="eastAsia" w:ascii="仿宋" w:hAnsi="仿宋" w:eastAsia="仿宋" w:cs="仿宋"/>
          <w:color w:val="auto"/>
          <w:sz w:val="28"/>
          <w:szCs w:val="28"/>
          <w:lang w:eastAsia="zh-CN"/>
        </w:rPr>
        <w:t>协调</w:t>
      </w:r>
      <w:r>
        <w:rPr>
          <w:rFonts w:hint="eastAsia" w:ascii="仿宋" w:hAnsi="仿宋" w:eastAsia="仿宋" w:cs="仿宋"/>
          <w:color w:val="auto"/>
          <w:sz w:val="28"/>
          <w:szCs w:val="28"/>
        </w:rPr>
        <w:t>制定的制度，应</w:t>
      </w:r>
      <w:r>
        <w:rPr>
          <w:rFonts w:hint="eastAsia" w:ascii="仿宋" w:hAnsi="仿宋" w:eastAsia="仿宋" w:cs="仿宋"/>
          <w:color w:val="auto"/>
          <w:sz w:val="28"/>
          <w:szCs w:val="28"/>
          <w:lang w:eastAsia="zh-CN"/>
        </w:rPr>
        <w:t>确定一个</w:t>
      </w:r>
      <w:r>
        <w:rPr>
          <w:rFonts w:hint="eastAsia" w:ascii="仿宋" w:hAnsi="仿宋" w:eastAsia="仿宋" w:cs="仿宋"/>
          <w:color w:val="auto"/>
          <w:sz w:val="28"/>
          <w:szCs w:val="28"/>
        </w:rPr>
        <w:t>部门负责</w:t>
      </w:r>
      <w:r>
        <w:rPr>
          <w:rFonts w:hint="eastAsia" w:ascii="仿宋" w:hAnsi="仿宋" w:eastAsia="仿宋" w:cs="仿宋"/>
          <w:color w:val="auto"/>
          <w:sz w:val="28"/>
          <w:szCs w:val="28"/>
          <w:lang w:eastAsia="zh-CN"/>
        </w:rPr>
        <w:t>牵头</w:t>
      </w:r>
      <w:r>
        <w:rPr>
          <w:rFonts w:hint="eastAsia" w:ascii="仿宋" w:hAnsi="仿宋" w:eastAsia="仿宋" w:cs="仿宋"/>
          <w:color w:val="auto"/>
          <w:sz w:val="28"/>
          <w:szCs w:val="28"/>
        </w:rPr>
        <w:t>组织，</w:t>
      </w:r>
      <w:r>
        <w:rPr>
          <w:rFonts w:hint="eastAsia" w:ascii="仿宋" w:hAnsi="仿宋" w:eastAsia="仿宋" w:cs="仿宋"/>
          <w:color w:val="auto"/>
          <w:sz w:val="28"/>
          <w:szCs w:val="28"/>
          <w:lang w:eastAsia="zh-CN"/>
        </w:rPr>
        <w:t>避免</w:t>
      </w:r>
      <w:r>
        <w:rPr>
          <w:rFonts w:hint="eastAsia" w:ascii="仿宋" w:hAnsi="仿宋" w:eastAsia="仿宋" w:cs="仿宋"/>
          <w:color w:val="auto"/>
          <w:sz w:val="28"/>
          <w:szCs w:val="28"/>
        </w:rPr>
        <w:t>出现</w:t>
      </w:r>
      <w:r>
        <w:rPr>
          <w:rFonts w:hint="eastAsia" w:ascii="仿宋" w:hAnsi="仿宋" w:eastAsia="仿宋" w:cs="仿宋"/>
          <w:color w:val="auto"/>
          <w:sz w:val="28"/>
          <w:szCs w:val="28"/>
          <w:lang w:eastAsia="zh-CN"/>
        </w:rPr>
        <w:t>因不同部门共同</w:t>
      </w:r>
      <w:r>
        <w:rPr>
          <w:rFonts w:hint="eastAsia" w:ascii="仿宋" w:hAnsi="仿宋" w:eastAsia="仿宋" w:cs="仿宋"/>
          <w:sz w:val="28"/>
          <w:szCs w:val="28"/>
          <w:lang w:eastAsia="zh-CN"/>
        </w:rPr>
        <w:t>制定而导致</w:t>
      </w:r>
      <w:r>
        <w:rPr>
          <w:rFonts w:hint="eastAsia" w:ascii="仿宋" w:hAnsi="仿宋" w:eastAsia="仿宋" w:cs="仿宋"/>
          <w:sz w:val="28"/>
          <w:szCs w:val="28"/>
        </w:rPr>
        <w:t>制度不统一的情况。</w:t>
      </w:r>
    </w:p>
    <w:p>
      <w:pPr>
        <w:ind w:right="-420" w:rightChars="-200"/>
        <w:rPr>
          <w:rFonts w:ascii="黑体" w:hAnsi="黑体" w:eastAsia="黑体" w:cs="黑体"/>
          <w:bCs/>
          <w:sz w:val="32"/>
          <w:szCs w:val="32"/>
        </w:rPr>
      </w:pPr>
      <w:r>
        <w:rPr>
          <w:rFonts w:hint="eastAsia" w:ascii="黑体" w:hAnsi="黑体" w:eastAsia="黑体" w:cs="黑体"/>
          <w:bCs/>
          <w:sz w:val="32"/>
          <w:szCs w:val="32"/>
        </w:rPr>
        <w:t>三、我校举办本科教学合格评估指标体系内涵解读专题讲座</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为进一步加深对本科教学工作合格评估体系的理解和认识，增强评建工作的针对性和有效性，4月16日上午，</w:t>
      </w:r>
      <w:r>
        <w:rPr>
          <w:rFonts w:hint="eastAsia" w:ascii="仿宋_GB2312" w:hAnsi="宋体" w:eastAsia="仿宋_GB2312" w:cs="宋体"/>
          <w:color w:val="333333"/>
          <w:kern w:val="0"/>
          <w:sz w:val="28"/>
          <w:szCs w:val="28"/>
        </w:rPr>
        <w:t>我校聘请校外专家</w:t>
      </w:r>
      <w:r>
        <w:rPr>
          <w:rFonts w:hint="eastAsia" w:ascii="仿宋" w:hAnsi="仿宋" w:eastAsia="仿宋" w:cs="仿宋"/>
          <w:sz w:val="28"/>
          <w:szCs w:val="28"/>
        </w:rPr>
        <w:t>作了本科教学工作合格评估指标体系内涵解读专题讲座。校领导、各职能部门负责人、各二级学院负责人、教学副院长、教研室主任、评建工作相关人员共170余人参加了讲座。</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专家针对合格评估内涵与学校评建工作要点从合格评估的工作思路、指标体系的解读、加强质量建设的若干思考等三个方面进行了深入浅出的讲解，对指标体系的内涵要求进行了重点解读，全面分析我校在评建工作中面临的形势和问题，进一步明确当前和今后我校评建工作的主要任务和工作重点。</w:t>
      </w:r>
    </w:p>
    <w:p>
      <w:pPr>
        <w:spacing w:line="500" w:lineRule="exact"/>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16AF"/>
    <w:rsid w:val="00033524"/>
    <w:rsid w:val="00043C66"/>
    <w:rsid w:val="0006723B"/>
    <w:rsid w:val="001319C1"/>
    <w:rsid w:val="001A7FA4"/>
    <w:rsid w:val="002119EA"/>
    <w:rsid w:val="00273928"/>
    <w:rsid w:val="002805D9"/>
    <w:rsid w:val="0029535A"/>
    <w:rsid w:val="002C3829"/>
    <w:rsid w:val="003209A5"/>
    <w:rsid w:val="00345574"/>
    <w:rsid w:val="00354D63"/>
    <w:rsid w:val="003800E5"/>
    <w:rsid w:val="003B1340"/>
    <w:rsid w:val="003C0322"/>
    <w:rsid w:val="00481BDE"/>
    <w:rsid w:val="004C701E"/>
    <w:rsid w:val="00553B51"/>
    <w:rsid w:val="005C47D1"/>
    <w:rsid w:val="005D150C"/>
    <w:rsid w:val="006A6306"/>
    <w:rsid w:val="006B12FA"/>
    <w:rsid w:val="00703CB3"/>
    <w:rsid w:val="007329C6"/>
    <w:rsid w:val="00755C97"/>
    <w:rsid w:val="007916AF"/>
    <w:rsid w:val="007B4DCB"/>
    <w:rsid w:val="00803D04"/>
    <w:rsid w:val="0088642E"/>
    <w:rsid w:val="00954073"/>
    <w:rsid w:val="00970F90"/>
    <w:rsid w:val="009D5D6A"/>
    <w:rsid w:val="00A106F2"/>
    <w:rsid w:val="00A57D71"/>
    <w:rsid w:val="00A97604"/>
    <w:rsid w:val="00AA35ED"/>
    <w:rsid w:val="00AC5AD0"/>
    <w:rsid w:val="00BA577E"/>
    <w:rsid w:val="00BB1F3E"/>
    <w:rsid w:val="00BF153B"/>
    <w:rsid w:val="00C23A01"/>
    <w:rsid w:val="00C46CCB"/>
    <w:rsid w:val="00C62FBF"/>
    <w:rsid w:val="00C86984"/>
    <w:rsid w:val="00C967DC"/>
    <w:rsid w:val="00CA5B69"/>
    <w:rsid w:val="00D01AD8"/>
    <w:rsid w:val="00D0384B"/>
    <w:rsid w:val="00D40A6A"/>
    <w:rsid w:val="00E27DB3"/>
    <w:rsid w:val="00E5219D"/>
    <w:rsid w:val="00ED484F"/>
    <w:rsid w:val="00F26548"/>
    <w:rsid w:val="00F678C9"/>
    <w:rsid w:val="01476CF7"/>
    <w:rsid w:val="01824F37"/>
    <w:rsid w:val="01E906AD"/>
    <w:rsid w:val="02BD11A9"/>
    <w:rsid w:val="02E649DA"/>
    <w:rsid w:val="03B67B73"/>
    <w:rsid w:val="042B678E"/>
    <w:rsid w:val="045142EB"/>
    <w:rsid w:val="05977FE2"/>
    <w:rsid w:val="05DE6B88"/>
    <w:rsid w:val="06711D9F"/>
    <w:rsid w:val="06730694"/>
    <w:rsid w:val="07255D08"/>
    <w:rsid w:val="073918BD"/>
    <w:rsid w:val="078041D0"/>
    <w:rsid w:val="081F0B88"/>
    <w:rsid w:val="0879634E"/>
    <w:rsid w:val="08D16F26"/>
    <w:rsid w:val="096D304E"/>
    <w:rsid w:val="09845B19"/>
    <w:rsid w:val="0A1D753E"/>
    <w:rsid w:val="0C4B5246"/>
    <w:rsid w:val="0C947905"/>
    <w:rsid w:val="0E416DF8"/>
    <w:rsid w:val="0E7D0B37"/>
    <w:rsid w:val="10600C7E"/>
    <w:rsid w:val="116C1BFB"/>
    <w:rsid w:val="1241769F"/>
    <w:rsid w:val="124F4FED"/>
    <w:rsid w:val="1266633A"/>
    <w:rsid w:val="12721590"/>
    <w:rsid w:val="12880E60"/>
    <w:rsid w:val="12B25B9B"/>
    <w:rsid w:val="13621B03"/>
    <w:rsid w:val="13BD2B84"/>
    <w:rsid w:val="13F56102"/>
    <w:rsid w:val="152714B4"/>
    <w:rsid w:val="153C14DC"/>
    <w:rsid w:val="15AA4767"/>
    <w:rsid w:val="165C48DE"/>
    <w:rsid w:val="173E6439"/>
    <w:rsid w:val="179E6C9D"/>
    <w:rsid w:val="18174CBF"/>
    <w:rsid w:val="181C33EF"/>
    <w:rsid w:val="18D54A17"/>
    <w:rsid w:val="18EC6A52"/>
    <w:rsid w:val="18F862D7"/>
    <w:rsid w:val="191E22EC"/>
    <w:rsid w:val="198E055D"/>
    <w:rsid w:val="1B1C6100"/>
    <w:rsid w:val="1B323D31"/>
    <w:rsid w:val="1BC44B4D"/>
    <w:rsid w:val="1BF744DE"/>
    <w:rsid w:val="1D270E2E"/>
    <w:rsid w:val="1ED8499A"/>
    <w:rsid w:val="213C340A"/>
    <w:rsid w:val="21471390"/>
    <w:rsid w:val="22170851"/>
    <w:rsid w:val="23AF7F9F"/>
    <w:rsid w:val="242F114E"/>
    <w:rsid w:val="24720720"/>
    <w:rsid w:val="24B668D7"/>
    <w:rsid w:val="24EB7E24"/>
    <w:rsid w:val="255D1408"/>
    <w:rsid w:val="26E231CE"/>
    <w:rsid w:val="278A23FC"/>
    <w:rsid w:val="27972E37"/>
    <w:rsid w:val="28850384"/>
    <w:rsid w:val="28C84CDA"/>
    <w:rsid w:val="29161289"/>
    <w:rsid w:val="2A4250A3"/>
    <w:rsid w:val="2BF2354B"/>
    <w:rsid w:val="2CD34C1D"/>
    <w:rsid w:val="2D585DFB"/>
    <w:rsid w:val="2DC211EB"/>
    <w:rsid w:val="2FD4373B"/>
    <w:rsid w:val="3090343D"/>
    <w:rsid w:val="312F3477"/>
    <w:rsid w:val="32364E4F"/>
    <w:rsid w:val="3311395B"/>
    <w:rsid w:val="33646546"/>
    <w:rsid w:val="33FC2702"/>
    <w:rsid w:val="34796DC5"/>
    <w:rsid w:val="34E12124"/>
    <w:rsid w:val="353F67B6"/>
    <w:rsid w:val="35CE66C7"/>
    <w:rsid w:val="360E5B42"/>
    <w:rsid w:val="368C4C75"/>
    <w:rsid w:val="3809156D"/>
    <w:rsid w:val="381C288C"/>
    <w:rsid w:val="38A63B93"/>
    <w:rsid w:val="394429FA"/>
    <w:rsid w:val="3A2564B7"/>
    <w:rsid w:val="3A303513"/>
    <w:rsid w:val="3BAA2849"/>
    <w:rsid w:val="3C3C7CBE"/>
    <w:rsid w:val="3EE11C73"/>
    <w:rsid w:val="3FD03081"/>
    <w:rsid w:val="401B0BC0"/>
    <w:rsid w:val="40E27A8E"/>
    <w:rsid w:val="41C27979"/>
    <w:rsid w:val="41F80577"/>
    <w:rsid w:val="4329657B"/>
    <w:rsid w:val="4380529D"/>
    <w:rsid w:val="43B159D0"/>
    <w:rsid w:val="44550BD7"/>
    <w:rsid w:val="44C9046D"/>
    <w:rsid w:val="458D53F8"/>
    <w:rsid w:val="46843551"/>
    <w:rsid w:val="472400FC"/>
    <w:rsid w:val="476F6BF3"/>
    <w:rsid w:val="478877FE"/>
    <w:rsid w:val="47FE7D04"/>
    <w:rsid w:val="4896719B"/>
    <w:rsid w:val="49457A7D"/>
    <w:rsid w:val="497967DD"/>
    <w:rsid w:val="497E6DB8"/>
    <w:rsid w:val="4A4162AC"/>
    <w:rsid w:val="4A4743C0"/>
    <w:rsid w:val="4A57672A"/>
    <w:rsid w:val="4A9C57D5"/>
    <w:rsid w:val="4BC80FE7"/>
    <w:rsid w:val="4BD176C2"/>
    <w:rsid w:val="4C8E58E9"/>
    <w:rsid w:val="4D203069"/>
    <w:rsid w:val="4D2B3415"/>
    <w:rsid w:val="4E905F02"/>
    <w:rsid w:val="503D0B29"/>
    <w:rsid w:val="505037DF"/>
    <w:rsid w:val="50734971"/>
    <w:rsid w:val="507A1CF2"/>
    <w:rsid w:val="50CB1969"/>
    <w:rsid w:val="50F6376C"/>
    <w:rsid w:val="51444E8D"/>
    <w:rsid w:val="52454A3D"/>
    <w:rsid w:val="52E7363F"/>
    <w:rsid w:val="52EA09E8"/>
    <w:rsid w:val="55AE6E01"/>
    <w:rsid w:val="55FC2548"/>
    <w:rsid w:val="561B30B6"/>
    <w:rsid w:val="564A5FE8"/>
    <w:rsid w:val="56E530BE"/>
    <w:rsid w:val="570E0364"/>
    <w:rsid w:val="57ED190F"/>
    <w:rsid w:val="58192A3A"/>
    <w:rsid w:val="5A1D2E04"/>
    <w:rsid w:val="5AB02BAD"/>
    <w:rsid w:val="5AFA3952"/>
    <w:rsid w:val="5B725F0A"/>
    <w:rsid w:val="5B9E3C96"/>
    <w:rsid w:val="5C6F0E03"/>
    <w:rsid w:val="5D2F2F44"/>
    <w:rsid w:val="5D3D6B5D"/>
    <w:rsid w:val="5EE474E7"/>
    <w:rsid w:val="5EFE0499"/>
    <w:rsid w:val="5F35492F"/>
    <w:rsid w:val="610716B5"/>
    <w:rsid w:val="6118511A"/>
    <w:rsid w:val="61A12376"/>
    <w:rsid w:val="62B20FCA"/>
    <w:rsid w:val="62CB2CE7"/>
    <w:rsid w:val="62D45595"/>
    <w:rsid w:val="64365968"/>
    <w:rsid w:val="666E2373"/>
    <w:rsid w:val="683404AB"/>
    <w:rsid w:val="692A79EC"/>
    <w:rsid w:val="69313386"/>
    <w:rsid w:val="69AA1EA0"/>
    <w:rsid w:val="69C86ECC"/>
    <w:rsid w:val="6A096129"/>
    <w:rsid w:val="6A5737A9"/>
    <w:rsid w:val="6A63488F"/>
    <w:rsid w:val="6A9E1650"/>
    <w:rsid w:val="6B2D6693"/>
    <w:rsid w:val="6B6412E9"/>
    <w:rsid w:val="6B6F3E26"/>
    <w:rsid w:val="6BE41A92"/>
    <w:rsid w:val="6C321114"/>
    <w:rsid w:val="6CA91583"/>
    <w:rsid w:val="6CAF508B"/>
    <w:rsid w:val="6CDB25C7"/>
    <w:rsid w:val="6E0557F7"/>
    <w:rsid w:val="6ED3005F"/>
    <w:rsid w:val="6F063E59"/>
    <w:rsid w:val="6FFC3F85"/>
    <w:rsid w:val="70C201F6"/>
    <w:rsid w:val="716A7052"/>
    <w:rsid w:val="71D86E16"/>
    <w:rsid w:val="723E4A51"/>
    <w:rsid w:val="735B43CA"/>
    <w:rsid w:val="7373331B"/>
    <w:rsid w:val="73D4421A"/>
    <w:rsid w:val="741F406D"/>
    <w:rsid w:val="75926C97"/>
    <w:rsid w:val="75E21D00"/>
    <w:rsid w:val="76266627"/>
    <w:rsid w:val="77453C5C"/>
    <w:rsid w:val="785E636A"/>
    <w:rsid w:val="790C70F7"/>
    <w:rsid w:val="7932057A"/>
    <w:rsid w:val="7A0F72AC"/>
    <w:rsid w:val="7A6B407E"/>
    <w:rsid w:val="7A9D7147"/>
    <w:rsid w:val="7B2F00BA"/>
    <w:rsid w:val="7B304708"/>
    <w:rsid w:val="7C5104F4"/>
    <w:rsid w:val="7CA361FA"/>
    <w:rsid w:val="7D6E57C7"/>
    <w:rsid w:val="7E050620"/>
    <w:rsid w:val="7E751427"/>
    <w:rsid w:val="7FDD241A"/>
    <w:rsid w:val="7FFC72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1"/>
    <w:unhideWhenUsed/>
    <w:qFormat/>
    <w:uiPriority w:val="99"/>
    <w:rPr>
      <w:b/>
      <w:bCs/>
    </w:rPr>
  </w:style>
  <w:style w:type="paragraph" w:styleId="3">
    <w:name w:val="annotation text"/>
    <w:basedOn w:val="1"/>
    <w:link w:val="150"/>
    <w:unhideWhenUsed/>
    <w:uiPriority w:val="99"/>
    <w:pPr>
      <w:jc w:val="left"/>
    </w:pPr>
  </w:style>
  <w:style w:type="paragraph" w:styleId="4">
    <w:name w:val="Plain Text"/>
    <w:basedOn w:val="1"/>
    <w:unhideWhenUsed/>
    <w:qFormat/>
    <w:uiPriority w:val="99"/>
    <w:rPr>
      <w:rFonts w:hint="eastAsia" w:ascii="宋体" w:hAnsi="Courier New"/>
    </w:rPr>
  </w:style>
  <w:style w:type="paragraph" w:styleId="5">
    <w:name w:val="Balloon Text"/>
    <w:basedOn w:val="1"/>
    <w:link w:val="147"/>
    <w:unhideWhenUsed/>
    <w:qFormat/>
    <w:uiPriority w:val="99"/>
    <w:rPr>
      <w:sz w:val="18"/>
      <w:szCs w:val="18"/>
    </w:rPr>
  </w:style>
  <w:style w:type="paragraph" w:styleId="6">
    <w:name w:val="footer"/>
    <w:basedOn w:val="1"/>
    <w:link w:val="149"/>
    <w:unhideWhenUsed/>
    <w:qFormat/>
    <w:uiPriority w:val="99"/>
    <w:pPr>
      <w:tabs>
        <w:tab w:val="center" w:pos="4153"/>
        <w:tab w:val="right" w:pos="8306"/>
      </w:tabs>
      <w:snapToGrid w:val="0"/>
      <w:jc w:val="left"/>
    </w:pPr>
    <w:rPr>
      <w:sz w:val="18"/>
      <w:szCs w:val="18"/>
    </w:rPr>
  </w:style>
  <w:style w:type="paragraph" w:styleId="7">
    <w:name w:val="header"/>
    <w:basedOn w:val="1"/>
    <w:link w:val="14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10"/>
    <w:pPr>
      <w:spacing w:line="460" w:lineRule="exact"/>
      <w:jc w:val="center"/>
      <w:outlineLvl w:val="0"/>
    </w:pPr>
    <w:rPr>
      <w:rFonts w:ascii="Calibri Light" w:hAnsi="Calibri Light" w:eastAsia="楷体" w:cs="Times New Roman"/>
      <w:b/>
      <w:bCs/>
      <w:sz w:val="24"/>
      <w:szCs w:val="32"/>
    </w:rPr>
  </w:style>
  <w:style w:type="character" w:styleId="11">
    <w:name w:val="FollowedHyperlink"/>
    <w:basedOn w:val="10"/>
    <w:unhideWhenUsed/>
    <w:qFormat/>
    <w:uiPriority w:val="99"/>
    <w:rPr>
      <w:color w:val="800080"/>
      <w:u w:val="none"/>
    </w:rPr>
  </w:style>
  <w:style w:type="character" w:styleId="12">
    <w:name w:val="Hyperlink"/>
    <w:basedOn w:val="10"/>
    <w:unhideWhenUsed/>
    <w:qFormat/>
    <w:uiPriority w:val="99"/>
    <w:rPr>
      <w:color w:val="0000FF"/>
      <w:u w:val="none"/>
    </w:rPr>
  </w:style>
  <w:style w:type="character" w:styleId="13">
    <w:name w:val="annotation reference"/>
    <w:basedOn w:val="10"/>
    <w:unhideWhenUsed/>
    <w:qFormat/>
    <w:uiPriority w:val="99"/>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font5"/>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17">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8">
    <w:name w:val="font7"/>
    <w:basedOn w:val="1"/>
    <w:qFormat/>
    <w:uiPriority w:val="0"/>
    <w:pPr>
      <w:widowControl/>
      <w:spacing w:before="100" w:beforeAutospacing="1" w:after="100" w:afterAutospacing="1"/>
      <w:jc w:val="left"/>
    </w:pPr>
    <w:rPr>
      <w:rFonts w:ascii="仿宋_GB2312" w:hAnsi="宋体" w:eastAsia="仿宋_GB2312" w:cs="宋体"/>
      <w:kern w:val="0"/>
      <w:sz w:val="22"/>
    </w:rPr>
  </w:style>
  <w:style w:type="paragraph" w:customStyle="1" w:styleId="19">
    <w:name w:val="font8"/>
    <w:basedOn w:val="1"/>
    <w:qFormat/>
    <w:uiPriority w:val="0"/>
    <w:pPr>
      <w:widowControl/>
      <w:spacing w:before="100" w:beforeAutospacing="1" w:after="100" w:afterAutospacing="1"/>
      <w:jc w:val="left"/>
    </w:pPr>
    <w:rPr>
      <w:rFonts w:ascii="宋体" w:hAnsi="宋体" w:eastAsia="宋体" w:cs="宋体"/>
      <w:b/>
      <w:bCs/>
      <w:kern w:val="0"/>
      <w:sz w:val="28"/>
      <w:szCs w:val="28"/>
    </w:rPr>
  </w:style>
  <w:style w:type="paragraph" w:customStyle="1" w:styleId="20">
    <w:name w:val="xl154"/>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1">
    <w:name w:val="xl155"/>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2">
    <w:name w:val="xl156"/>
    <w:basedOn w:val="1"/>
    <w:qFormat/>
    <w:uiPriority w:val="0"/>
    <w:pPr>
      <w:widowControl/>
      <w:spacing w:before="100" w:beforeAutospacing="1" w:after="100" w:afterAutospacing="1"/>
      <w:jc w:val="center"/>
    </w:pPr>
    <w:rPr>
      <w:rFonts w:ascii="宋体" w:hAnsi="宋体" w:eastAsia="宋体" w:cs="宋体"/>
      <w:kern w:val="0"/>
      <w:sz w:val="22"/>
    </w:rPr>
  </w:style>
  <w:style w:type="paragraph" w:customStyle="1" w:styleId="23">
    <w:name w:val="xl15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4">
    <w:name w:val="xl158"/>
    <w:basedOn w:val="1"/>
    <w:qFormat/>
    <w:uiPriority w:val="0"/>
    <w:pPr>
      <w:widowControl/>
      <w:spacing w:before="100" w:beforeAutospacing="1" w:after="100" w:afterAutospacing="1"/>
      <w:jc w:val="center"/>
    </w:pPr>
    <w:rPr>
      <w:rFonts w:ascii="Times New Roman" w:hAnsi="Times New Roman" w:eastAsia="宋体" w:cs="Times New Roman"/>
      <w:kern w:val="0"/>
      <w:sz w:val="22"/>
    </w:rPr>
  </w:style>
  <w:style w:type="paragraph" w:customStyle="1" w:styleId="25">
    <w:name w:val="xl159"/>
    <w:basedOn w:val="1"/>
    <w:qFormat/>
    <w:uiPriority w:val="0"/>
    <w:pPr>
      <w:widowControl/>
      <w:pBdr>
        <w:top w:val="single" w:color="auto" w:sz="4" w:space="0"/>
        <w:left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26">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2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28">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29">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1">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2">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3">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4">
    <w:name w:val="xl168"/>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5">
    <w:name w:val="xl16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36">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7">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8">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i/>
      <w:iCs/>
      <w:kern w:val="0"/>
      <w:sz w:val="22"/>
    </w:rPr>
  </w:style>
  <w:style w:type="paragraph" w:customStyle="1" w:styleId="3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0">
    <w:name w:val="xl174"/>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4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2">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4">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5">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6">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7">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8">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9">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0">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1">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2">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53">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4">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5">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6">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8">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9">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0">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1">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2">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3">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4">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5">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7">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8">
    <w:name w:val="xl202"/>
    <w:basedOn w:val="1"/>
    <w:qFormat/>
    <w:uiPriority w:val="0"/>
    <w:pPr>
      <w:widowControl/>
      <w:spacing w:before="100" w:beforeAutospacing="1" w:after="100" w:afterAutospacing="1"/>
      <w:jc w:val="left"/>
    </w:pPr>
    <w:rPr>
      <w:rFonts w:ascii="宋体" w:hAnsi="宋体" w:eastAsia="宋体" w:cs="宋体"/>
      <w:color w:val="C00000"/>
      <w:kern w:val="0"/>
      <w:sz w:val="22"/>
    </w:rPr>
  </w:style>
  <w:style w:type="paragraph" w:customStyle="1" w:styleId="69">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0">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1">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2">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73">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4">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5">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6">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8">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79">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1">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2">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4">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5">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86">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7">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8">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9">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0">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2">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3">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94">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5">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6">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7">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8">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9">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0">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1">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3">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4">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5">
    <w:name w:val="xl23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106">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7">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8">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9">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0">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1">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2">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4">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115">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6">
    <w:name w:val="xl2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7">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8">
    <w:name w:val="xl2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9">
    <w:name w:val="xl25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0">
    <w:name w:val="xl2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1">
    <w:name w:val="xl2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2">
    <w:name w:val="xl25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3">
    <w:name w:val="xl2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4">
    <w:name w:val="xl2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5">
    <w:name w:val="xl25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6">
    <w:name w:val="xl2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7">
    <w:name w:val="xl2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8">
    <w:name w:val="xl26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9">
    <w:name w:val="xl2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0">
    <w:name w:val="xl26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1">
    <w:name w:val="xl2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2">
    <w:name w:val="xl2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3">
    <w:name w:val="xl26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4">
    <w:name w:val="xl2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5">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rPr>
  </w:style>
  <w:style w:type="paragraph" w:customStyle="1" w:styleId="136">
    <w:name w:val="xl2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7">
    <w:name w:val="xl27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8">
    <w:name w:val="xl2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9">
    <w:name w:val="xl27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0">
    <w:name w:val="xl2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1">
    <w:name w:val="xl2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2">
    <w:name w:val="xl276"/>
    <w:basedOn w:val="1"/>
    <w:qFormat/>
    <w:uiPriority w:val="0"/>
    <w:pPr>
      <w:widowControl/>
      <w:pBdr>
        <w:left w:val="single" w:color="auto" w:sz="4" w:space="0"/>
      </w:pBdr>
      <w:spacing w:before="100" w:beforeAutospacing="1" w:after="100" w:afterAutospacing="1"/>
      <w:jc w:val="center"/>
    </w:pPr>
    <w:rPr>
      <w:rFonts w:ascii="宋体" w:hAnsi="宋体" w:eastAsia="宋体" w:cs="宋体"/>
      <w:color w:val="FF0000"/>
      <w:kern w:val="0"/>
      <w:sz w:val="22"/>
    </w:rPr>
  </w:style>
  <w:style w:type="paragraph" w:customStyle="1" w:styleId="143">
    <w:name w:val="xl277"/>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44">
    <w:name w:val="xl278"/>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45">
    <w:name w:val="xl279"/>
    <w:basedOn w:val="1"/>
    <w:qFormat/>
    <w:uiPriority w:val="0"/>
    <w:pPr>
      <w:widowControl/>
      <w:spacing w:before="100" w:beforeAutospacing="1" w:after="100" w:afterAutospacing="1"/>
      <w:jc w:val="center"/>
    </w:pPr>
    <w:rPr>
      <w:rFonts w:ascii="宋体" w:hAnsi="宋体" w:eastAsia="宋体" w:cs="宋体"/>
      <w:kern w:val="0"/>
      <w:sz w:val="22"/>
    </w:rPr>
  </w:style>
  <w:style w:type="paragraph" w:styleId="146">
    <w:name w:val="List Paragraph"/>
    <w:basedOn w:val="1"/>
    <w:qFormat/>
    <w:uiPriority w:val="34"/>
    <w:pPr>
      <w:ind w:firstLine="420" w:firstLineChars="200"/>
    </w:pPr>
  </w:style>
  <w:style w:type="character" w:customStyle="1" w:styleId="147">
    <w:name w:val="批注框文本 Char"/>
    <w:basedOn w:val="10"/>
    <w:link w:val="5"/>
    <w:semiHidden/>
    <w:qFormat/>
    <w:uiPriority w:val="99"/>
    <w:rPr>
      <w:sz w:val="18"/>
      <w:szCs w:val="18"/>
    </w:rPr>
  </w:style>
  <w:style w:type="character" w:customStyle="1" w:styleId="148">
    <w:name w:val="页眉 Char"/>
    <w:basedOn w:val="10"/>
    <w:link w:val="7"/>
    <w:semiHidden/>
    <w:qFormat/>
    <w:uiPriority w:val="99"/>
    <w:rPr>
      <w:kern w:val="2"/>
      <w:sz w:val="18"/>
      <w:szCs w:val="18"/>
    </w:rPr>
  </w:style>
  <w:style w:type="character" w:customStyle="1" w:styleId="149">
    <w:name w:val="页脚 Char"/>
    <w:basedOn w:val="10"/>
    <w:link w:val="6"/>
    <w:semiHidden/>
    <w:qFormat/>
    <w:uiPriority w:val="99"/>
    <w:rPr>
      <w:kern w:val="2"/>
      <w:sz w:val="18"/>
      <w:szCs w:val="18"/>
    </w:rPr>
  </w:style>
  <w:style w:type="character" w:customStyle="1" w:styleId="150">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151">
    <w:name w:val="批注主题 Char"/>
    <w:basedOn w:val="150"/>
    <w:link w:val="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D17C0-60A2-439D-B768-86BD076AC61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245</Words>
  <Characters>1397</Characters>
  <Lines>11</Lines>
  <Paragraphs>3</Paragraphs>
  <ScaleCrop>false</ScaleCrop>
  <LinksUpToDate>false</LinksUpToDate>
  <CharactersWithSpaces>1639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2018-03-16T01:38:00Z</dcterms:created>
  <dc:creator>dreamsummit</dc:creator>
  <cp:lastModifiedBy>欣</cp:lastModifiedBy>
  <dcterms:modified xsi:type="dcterms:W3CDTF">2018-05-17T01:14:56Z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